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SARLAT - Belle contemporaine en parfait état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 5 minutes de Sarlat, venez découvrir cette belle maison entièrement rénovée de 178m2 sur sous sol entier, érigée sur un terrain de 1 920m2 entièrement clôturé. Celle-ci se compose d'une entrée av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ec wc indépendant, ouvrant sur une belle pièce de vie lumineuse avec accès terrasse, une cuisine équipée, une chambre ainsi qu'une belle suite parentale avec salle d'eau et dressing ; A l'étage se trouve trois chambres dont une en suite avec salle d'eau pr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ivative et dressing, une salle d'eau ainsi qu'un wc indépendant.</w:t>
                    <w:br/>
                    <w:t xml:space="preserve">Fosse septique conforme - Centrale Poêle à granulés - Double vitrage 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Réf.:LVT1339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483 000 €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33550" cy="2857500"/>
                            <wp:effectExtent l="0" t="0" r="0" b="0"/>
                            <wp:docPr id="1" name="Picture 1" descr="https://gildc.activimmo.ovh/pic/182x300/lvt246502494p6666aae509e4f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6502494p6666aae509e4f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6.5pt;height:22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2" name="Picture 1" descr="https://dpe.files.activimmo.com/elan?dpe=98&amp;ges=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?dpe=98&amp;ges=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3" name="Picture 1" descr="https://dpe.files.activimmo.com/elan/ges/?ges=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/ges/?ges=0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>
          <w:trHeight w:val="9007"/>
        </w:trPr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chemin Vergt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24200 Saint Vincent le Paluel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188m²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non-isolée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Central granulés bois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5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1,920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483 000 €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1339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23 000 €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SOUDE 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Régis et Véronique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06.67.53.17.19.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reve.soude@gmail.com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Campagne non isolée À 5 minutes de SARLAT</w:t>
                    <w:br/>
                    <w:t xml:space="preserve">REZ DE JARDIN:- Buanderie  - Chaufferie </w:t>
                    <w:br/>
                    <w:t xml:space="preserve"> - Garage pour deux voitures </w:t>
                    <w:br/>
                    <w:t xml:space="preserve">REZ DE CHAUSSÉE:</w:t>
                    <w:br/>
                    <w:t xml:space="preserve"> - 2 Chambres d'environ 11,5m2 dont une en suite d'environ 39m2 avec salle d'eau, baignoire , d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ressing </w:t>
                    <w:br/>
                    <w:t xml:space="preserve"> - Cuisine d'environ 19m2 équipée avec four, four micro-ondes, frigo américain et cave à vin, avec accès terrasse </w:t>
                    <w:br/>
                    <w:t xml:space="preserve"> - Hall d'entrée d'environ 9m2</w:t>
                    <w:br/>
                    <w:t xml:space="preserve"> - Pièce à vivre d'environ 45m2</w:t>
                    <w:br/>
                    <w:t xml:space="preserve">1ER ÉTAGE:</w:t>
                    <w:br/>
                    <w:t xml:space="preserve"> - 3 Chambres d'environ 12 et 13m2 dont une en suite d'en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viron 19m2 avec salle d'eau et dressing</w:t>
                    <w:br/>
                    <w:t xml:space="preserve"> - Salle de bains d'environ 6m2</w:t>
                    <w:br/>
                    <w:t xml:space="preserve">DPE:</w:t>
                    <w:br/>
                    <w:t xml:space="preserve"> - Consommation énergétique (en énergie primaire): 98 KWHep/m²an</w:t>
                    <w:br/>
                    <w:t xml:space="preserve"> - Emission de gaz à effet de serre: 2 Kgco2/m²an</w:t>
                    <w:br/>
                    <w:t xml:space="preserve"> - Date de réalisation DPE 24/10/2022</w:t>
                    <w:br/>
                    <w:t xml:space="preserve">CHAUFFAGE:</w:t>
                    <w:br/>
                    <w:t xml:space="preserve"> - bois </w:t>
                    <w:br/>
                    <w:t xml:space="preserve"> - C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entral granulés </w:t>
                    <w:br/>
                    <w:t xml:space="preserve">EQUIPEMENTS DIVERS:</w:t>
                    <w:br/>
                    <w:t xml:space="preserve"> - Double vitrage </w:t>
                    <w:br/>
                    <w:t xml:space="preserve"> - Fosse septique Conforme</w:t>
                    <w:br/>
                    <w:t xml:space="preserve">SERVICES:</w:t>
                    <w:br/>
                    <w:t xml:space="preserve"> - Ville la plus proche : SARLAT-LA-CANÉDA</w:t>
                    <w:br/>
                    <w:t xml:space="preserve"> - Commerces 5km</w:t>
                    <w:br/>
                    <w:t xml:space="preserve"> - Ecole 6km</w:t>
                    <w:br/>
                    <w:t xml:space="preserve"> - Gare 5km</w:t>
                    <w:br/>
                    <w:t xml:space="preserve"> - Hôpital 4km</w:t>
                    <w:br/>
                    <w:t xml:space="preserve"> - Plain-pied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26 06 2024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4</cp:revision>
  <dcterms:created xsi:type="dcterms:W3CDTF">2024-01-19T09:56:00Z</dcterms:created>
  <dcterms:modified xsi:type="dcterms:W3CDTF">2024-06-26T12:04:17Z</dcterms:modified>
</cp:coreProperties>
</file>