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LVT1277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  <w:b/>
                <w:sz w:val="36"/>
              </w:rPr>
              <w:t xml:space="preserve">SECTEUR DOMME - Maison en pierre avec cinq chambres, garage et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DOMME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highlight w:val="none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90296" cy="4260198"/>
                      <wp:effectExtent l="0" t="0" r="0" b="0"/>
                      <wp:docPr id="1" name="Picture 1" descr="https://gildc.activimmo.ovh/pic/510x340/lvt246501266p3564ad7483cb8a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510x340/lvt246501266p3564ad7483cb8a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390296" cy="42601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03.2pt;height:335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2" name="Picture 1" descr="https://gildc.activimmo.ovh/pic/276x184/lvt246501266p3364ad748e9100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266p3364ad748e91007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28900" cy="1752600"/>
                      <wp:effectExtent l="0" t="0" r="0" b="0"/>
                      <wp:docPr id="3" name="Picture 1" descr="https://gildc.activimmo.ovh/pic/276x184/lvt246501266p2964ad74855aef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76x184/lvt246501266p2964ad74855aef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28900" cy="1752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07.0pt;height:138.0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230"/>
        <w:gridCol w:w="10402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920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3733" cy="1591368"/>
                      <wp:effectExtent l="0" t="0" r="0" b="0"/>
                      <wp:docPr id="4" name="Picture 1" descr="https://files.activimmo.com/storage/etiquettes/photo/dpe/dpe-energie-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files.activimmo.com/storage/etiquettes/photo/dpe/dpe-energie-d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43733" cy="1591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7.3pt;height:125.3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3549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</w:rPr>
            </w:pP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</w:p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bCs/>
                <w:highlight w:val="none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A prox</w:t>
            </w:r>
            <w:r>
              <w:rPr>
                <w:rFonts w:ascii="Tahoma" w:hAnsi="Tahoma" w:eastAsia="Tahoma"/>
                <w:b/>
                <w:szCs w:val="24"/>
              </w:rPr>
            </w:r>
            <w:r>
              <w:rPr>
                <w:rFonts w:ascii="Tahoma" w:hAnsi="Tahoma" w:eastAsia="Tahoma"/>
                <w:b/>
                <w:szCs w:val="24"/>
              </w:rPr>
              <w:t xml:space="preserve">imité de la Dordogne, cette maison en pierre composée de trois paliers d'une surface d'environ 115m2 au sol et d' environ 173m2 habitables se compose au rez-de-chaussée d'un salon/salle à manger et cuisine ouverte avec un accès sur la terrasse, de</w:t>
            </w:r>
            <w:r>
              <w:rPr>
                <w:rFonts w:ascii="Tahoma" w:hAnsi="Tahoma" w:eastAsia="Tahoma"/>
                <w:b/>
                <w:szCs w:val="24"/>
              </w:rPr>
              <w:t xml:space="preserve">ux chambres, une salle d'eau et wc indépendant. Au premier étage se trouve un palier pouvant faire office de bureau, trois chambres, une salle de bains et un wc indépendant. Au rez-de-jardin se trouve un sous-sol total composé d'un garage ainsi qu'un ateli</w:t>
            </w:r>
            <w:r>
              <w:rPr>
                <w:rFonts w:ascii="Tahoma" w:hAnsi="Tahoma" w:eastAsia="Tahoma"/>
                <w:b/>
                <w:szCs w:val="24"/>
              </w:rPr>
              <w:t xml:space="preserve">er, une cave à vin et une chaufferie. </w:t>
              <w:br/>
              <w:t xml:space="preserve">Le tout sur un terrain de  2 563 m2. Double vitrage - Pompe à chaleur - Chauffage électrique</w:t>
              <w:br/>
              <w:t xml:space="preserve">Les informations sur les risques auxquels ce bien est exposé sont disponibles sur le site Géorisques: </w:t>
            </w:r>
            <w:hyperlink r:id="rId13" w:tooltip="http://www.georisques.gouv.fr" w:history="1">
              <w:r>
                <w:rPr>
                  <w:rStyle w:val="173"/>
                  <w:rFonts w:ascii="Tahoma" w:hAnsi="Tahoma" w:eastAsia="Tahoma"/>
                  <w:b/>
                  <w:szCs w:val="24"/>
                </w:rPr>
                <w:t xml:space="preserve">www.georisques.gouv.fr</w:t>
              </w:r>
              <w:r>
                <w:rPr>
                  <w:rStyle w:val="173"/>
                </w:rPr>
              </w:r>
              <w:r>
                <w:rPr>
                  <w:rStyle w:val="173"/>
                </w:rPr>
              </w:r>
              <w:r>
                <w:rPr>
                  <w:rStyle w:val="173"/>
                  <w:rFonts w:ascii="Tahoma" w:hAnsi="Tahoma" w:eastAsia="Tahoma"/>
                  <w:b/>
                  <w:bCs/>
                </w:rPr>
              </w:r>
            </w:hyperlink>
            <w:r>
              <w:rPr>
                <w:rFonts w:ascii="Tahoma" w:hAnsi="Tahoma" w:eastAsia="Tahoma"/>
                <w:b/>
                <w:bCs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szCs w:val="24"/>
                <w:highlight w:val="none"/>
              </w:rPr>
            </w:r>
            <w:r>
              <w:rPr>
                <w:rFonts w:ascii="Tahoma" w:hAnsi="Tahoma" w:eastAsia="Tahoma"/>
                <w:b/>
                <w:bCs/>
                <w:highlight w:val="none"/>
              </w:rPr>
            </w:r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Honoraires: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 TTC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40"/>
                <w:lang w:val="fr-FR"/>
              </w:rPr>
            </w:pPr>
            <w:r>
              <w:rPr>
                <w:rFonts w:ascii="Tahoma" w:hAnsi="Tahoma" w:eastAsia="Tahoma"/>
                <w:b/>
                <w:lang w:val="fr-FR"/>
              </w:rPr>
              <w:t xml:space="preserve">PRIX HONORAIRES </w:t>
            </w:r>
            <w:r>
              <w:rPr>
                <w:rFonts w:ascii="Tahoma" w:hAnsi="Tahoma" w:eastAsia="Tahoma"/>
                <w:b/>
                <w:lang w:val="fr-FR"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  <w:lang w:val="fr-FR"/>
              </w:rPr>
              <w:t xml:space="preserve"> 399.000 €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40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  <w:lang w:val="fr-FR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380.000 €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hyperlink" Target="http://www.georisques.gouv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thomaad</cp:lastModifiedBy>
  <cp:revision>5</cp:revision>
  <dcterms:created xsi:type="dcterms:W3CDTF">2023-07-24T08:47:00Z</dcterms:created>
  <dcterms:modified xsi:type="dcterms:W3CDTF">2023-09-14T07:54:09Z</dcterms:modified>
</cp:coreProperties>
</file>