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MAISON EN PIERRE RENOVÉE , AVEC HANGAR , PISCINE, TERRAIN CLOTURÉ DE PLUS  D'UN HECTARE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seulement 20 minutes de Sarlat, dans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un environnement paisible, à la sortie d'un village offrant commodités et école , vous trouverez cette belle maison en pierre, l'une des plus anciennes maison du village, entièrement restaurée ,elle propose, une entrée donnant sur une cuisine équipée , un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 pièce de vie très chaleureuse avec ses murs en pierre et son cantou équipé d'un poêle à bois, le salon actuellement transformé en chambre à coucher,salle de bains à terminer - une buanderie - wc invité au 1er étage , 4 chambres une salle d'eau avec douche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à l'italienne, wc séparésun hangar en bois d'environ 90m2 permet de garer plusieurs véhicules, sa partie aménagée peut vous offrir la possibilité de créer un atelierune piscine au 11 X 5 chauffée avec volet roulant électriqueTerrain de 13 709 m2 dont une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partie constructible (ruine d'une ancienne chapelle) une partie clôturée portail d'entrée électrique Présence d’un puits sur le terrain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Réf.:LVT1315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399 000 €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2090p2165f3245a0e3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090p2165f3245a0e3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e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b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263 route des Sangliers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24370 CARLUX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210m²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Central granulés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13,709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399 000 €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1315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1600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19 000 €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PRAT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Marie Noelle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263 route des Sangliers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24370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CARLUX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06.24.60.32.11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Chambre  initialement salon </w:t>
                    <w:br/>
                    <w:t xml:space="preserve"> - Chaufferie </w:t>
                    <w:br/>
                    <w:t xml:space="preserve"> - Cuisine entièrement équipée 18, 6 m2</w:t>
                    <w:br/>
                    <w:t xml:space="preserve"> - Hall d'entrée de 10m2 environ</w:t>
                    <w:br/>
                    <w:t xml:space="preserve"> - Salle à manger 29m2 avec une cheminée poêle à bois </w:t>
                    <w:br/>
                    <w:t xml:space="preserve"> - Sa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lle de bains baignoire installée dans une pièce de 15 m2</w:t>
                    <w:br/>
                    <w:t xml:space="preserve"> - Salon 26,87 actuellement transformé en chambre</w:t>
                    <w:br/>
                    <w:t xml:space="preserve"> - WC un Wc indépendant </w:t>
                    <w:br/>
                    <w:br/>
                    <w:t xml:space="preserve">REZ DE CHAUSSÉE:</w:t>
                    <w:br/>
                    <w:t xml:space="preserve"> - Cave  avec chaudière à Pellet 26 m2</w:t>
                    <w:br/>
                    <w:br/>
                    <w:t xml:space="preserve">1ER ÉTAGE:</w:t>
                    <w:br/>
                    <w:t xml:space="preserve"> - Chambre 3 chambres de 9, 16,6 et 20m2 sol parquet</w:t>
                    <w:br/>
                    <w:t xml:space="preserve"> -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Couloir 22m2</w:t>
                    <w:br/>
                    <w:t xml:space="preserve"> - Salle d'eau 10m2 douche à l'italienne </w:t>
                    <w:br/>
                    <w:t xml:space="preserve"> - WC 1,65 m2</w:t>
                    <w:br/>
                    <w:br/>
                    <w:t xml:space="preserve">DÉPENDANCES:</w:t>
                    <w:br/>
                    <w:t xml:space="preserve"> - Hangar bois de 90m2 aménagé en partie - eau et électricité, pool house de la piscine </w:t>
                    <w:br/>
                    <w:br/>
                    <w:t xml:space="preserve">DPE:</w:t>
                    <w:br/>
                    <w:t xml:space="preserve"> - Consommation énergétique (en énergie primaire): 249 KWHep/m²an D</w:t>
                    <w:br/>
                    <w:t xml:space="preserve"> - Emissi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on de gaz à effet de serre: 7 Kgco2/m²an B</w:t>
                    <w:br/>
                    <w:br/>
                    <w:t xml:space="preserve">CHAUFFAGE:</w:t>
                    <w:br/>
                    <w:t xml:space="preserve"> - bois insert dans la pièce principale </w:t>
                    <w:br/>
                    <w:t xml:space="preserve"> - Central granulés pour le rez de chaussée chauffage au sol par la chaudière à granulés - pour le 1er étage chauffage par radiateurs alimentés par la chaudière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à granulés</w:t>
                    <w:br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Lave linge </w:t>
                    <w:br/>
                    <w:t xml:space="preserve"> - Lave vaisselle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Volets bois</w:t>
                    <w:br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Calme </w:t>
                    <w:br/>
                    <w:t xml:space="preserve"> - Dépendance Hangar bois </w:t>
                    <w:br/>
                    <w:t xml:space="preserve"> - Ecole Dans le village</w:t>
                    <w:br/>
                    <w:t xml:space="preserve"> - Gare 20 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inutes</w:t>
                    <w:br/>
                    <w:t xml:space="preserve"> - Hôpital 20 minutes</w:t>
                    <w:br/>
                    <w:t xml:space="preserve"> - Internet / ADSL </w:t>
                    <w:br/>
                    <w:t xml:space="preserve"> - Monument historique Dans le village</w:t>
                    <w:br/>
                    <w:t xml:space="preserve"> - Puits, source ou citerne Présence d’un puits sur le terrain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Piscine </w:t>
                    <w:br/>
                    <w:br/>
                    <w:t xml:space="preserve">VUE:</w:t>
                    <w:br/>
                    <w:t xml:space="preserve"> - Vue sur forêt/bois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17 04 2024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2024-04-17T11:26:00Z</dcterms:modified>
</cp:coreProperties>
</file>