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SARLAT - Maison avec appartement et terrain, proche commerces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SARLAT - Située en hauteur à proximité du centre de Sarlat, avec commerces accessibles à pied, cette maison d'environ 129m2 habitables offre au rez-de-chaussée une véranda, un séjour avec insert, une cuisine, une chambre, une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salle de bains, dressing et wc indépendant ; Au premier étage se trouve une mezzanine pouvant faire office de bureau, une chambre ainsi qu'une salle de bains avec wc.Le rez-de-jardin dispose d'un sous-sol total composé d'un studio, un atelier, une cave, un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espace de stockage ainsi qu'un garage.Le tout sur un joli terrain arboré de 1 660m2.Tout à l'égout - Double vitrage - CC Gaz de ville Les informations sur les risques auquel ce bien est exposé sont disponibles sur le site Géorisques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Réf.:LVT1289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296 800 €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40760" cy="1221033"/>
                            <wp:effectExtent l="0" t="0" r="0" b="0"/>
                            <wp:docPr id="1" name="Picture 1" descr="https://gildc.activimmo.ovh/pic/182x300/lvt246501628p1652fec4bf29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628p1652fec4bf290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740759" cy="1221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58.3pt;height:96.1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204&amp;ges=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204&amp;ges=30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30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8 Allée Grace Kelly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SARLAT-LA-CANEDA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134m²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Urbain / Centre Ville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Gaz de ville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1,160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296 800 €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1289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2025-10-16 00:00:00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16 800 €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DUMONT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Jeanne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06 82 84 10 68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jncld.dumont@gmail.com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Centre-Ville </w:t>
                    <w:br/>
                    <w:t xml:space="preserve">REZ DE JARDIN:</w:t>
                    <w:br/>
                    <w:t xml:space="preserve"> - Atelier </w:t>
                    <w:br/>
                    <w:t xml:space="preserve"> - Cave </w:t>
                    <w:br/>
                    <w:t xml:space="preserve"> - Garage </w:t>
                    <w:br/>
                    <w:t xml:space="preserve"> - Appar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tement /studio d'environ 15m2</w:t>
                    <w:br/>
                    <w:t xml:space="preserve">REZ DE CHAUSSÉE:</w:t>
                    <w:br/>
                    <w:t xml:space="preserve"> - Chambre de 15,4m2</w:t>
                    <w:br/>
                    <w:t xml:space="preserve"> - Cuisine de 11,7m2</w:t>
                    <w:br/>
                    <w:t xml:space="preserve"> - Dressing de 5,4m2</w:t>
                    <w:br/>
                    <w:t xml:space="preserve"> - Hall d'entrée d'environ 7m2</w:t>
                    <w:br/>
                    <w:t xml:space="preserve"> - Séjour de 50,1m2</w:t>
                    <w:br/>
                    <w:t xml:space="preserve"> - Salle de bains de 9,1m2</w:t>
                    <w:br/>
                    <w:t xml:space="preserve"> - Veranda </w:t>
                    <w:br/>
                    <w:t xml:space="preserve"> - WC indépendant </w:t>
                    <w:br/>
                    <w:t xml:space="preserve">1ER ÉTAGE:</w:t>
                    <w:br/>
                    <w:t xml:space="preserve"> - Chambre de 12,8m2</w:t>
                    <w:br/>
                    <w:t xml:space="preserve"> - Me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zzanine de 11,8m2</w:t>
                    <w:br/>
                    <w:t xml:space="preserve"> - Salle de bains avec WC </w:t>
                    <w:br/>
                    <w:t xml:space="preserve">DPE:</w:t>
                    <w:br/>
                    <w:t xml:space="preserve"> - Consommation énergétique (en énergie primaire): 204 KWHep/m²an</w:t>
                    <w:br/>
                    <w:t xml:space="preserve"> - Emission de gaz à effet de serre: 30 Kgco2/m²an</w:t>
                    <w:br/>
                    <w:t xml:space="preserve"> - Date de réalisation DPE (jj/mm/aaaa) 12/10/2023</w:t>
                    <w:br/>
                    <w:t xml:space="preserve">CHAUFFAGE:</w:t>
                    <w:br/>
                    <w:t xml:space="preserve"> - bois insert bois </w:t>
                    <w:br/>
                    <w:t xml:space="preserve"> - CC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Gaz de ville </w:t>
                    <w:br/>
                    <w:t xml:space="preserve">EQUIPEMENTS DIVERS:</w:t>
                    <w:br/>
                    <w:t xml:space="preserve"> - Tout à l'égout </w:t>
                    <w:br/>
                    <w:t xml:space="preserve">FENÊTRES:</w:t>
                    <w:br/>
                    <w:t xml:space="preserve"> - Double vitrage </w:t>
                    <w:br/>
                    <w:t xml:space="preserve">SERVICES:</w:t>
                    <w:br/>
                    <w:t xml:space="preserve"> - Ville la plus proche : SARLAT-LA-CANÉDA </w:t>
                    <w:br/>
                    <w:t xml:space="preserve"> - Commerces 300m </w:t>
                    <w:br/>
                    <w:t xml:space="preserve"> - Ecole 1,7km </w:t>
                    <w:br/>
                    <w:t xml:space="preserve"> - Gare 1,3km </w:t>
                    <w:br/>
                    <w:t xml:space="preserve"> - Gîtes </w:t>
                    <w:br/>
                    <w:t xml:space="preserve"> - Hôpital 5,2km </w:t>
                    <w:br/>
                    <w:t xml:space="preserve"> - Plain-pied </w:t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14 11 2023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2023-11-14T14:28:57Z</dcterms:modified>
</cp:coreProperties>
</file>