
<file path=[Content_Types].xml><?xml version="1.0" encoding="utf-8"?>
<Types xmlns="http://schemas.openxmlformats.org/package/2006/content-types">
  <Default Extension="wmf" ContentType="image/x-wmf"/>
  <Default Extension="gif" ContentType="image/gi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000" w:firstRow="0" w:lastRow="0" w:firstColumn="0" w:lastColumn="0" w:noHBand="0" w:noVBand="0"/>
      </w:tblPr>
      <w:tblGrid>
        <w:gridCol w:w="5110"/>
        <w:gridCol w:w="5546"/>
      </w:tblGrid>
      <w:tr>
        <w:trPr/>
        <w:tc>
          <w:tcPr>
            <w:shd w:val="clear" w:color="auto" w:fill="auto"/>
            <w:tcW w:w="5110" w:type="dxa"/>
            <w:textDirection w:val="lrTb"/>
            <w:noWrap w:val="false"/>
          </w:tcPr>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0" behindDoc="0" locked="0" layoutInCell="1" allowOverlap="1">
                      <wp:simplePos x="0" y="0"/>
                      <wp:positionH relativeFrom="column">
                        <wp:posOffset>554990</wp:posOffset>
                      </wp:positionH>
                      <wp:positionV relativeFrom="paragraph">
                        <wp:posOffset>446405</wp:posOffset>
                      </wp:positionV>
                      <wp:extent cx="1355725" cy="1337945"/>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2"/>
                              <a:stretch/>
                            </pic:blipFill>
                            <pic:spPr bwMode="auto">
                              <a:xfrm>
                                <a:off x="0" y="0"/>
                                <a:ext cx="1355725" cy="133794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1000000;o:allowoverlap:true;o:allowincell:true;mso-position-horizontal-relative:text;margin-left:43.7pt;mso-position-horizontal:absolute;mso-position-vertical-relative:text;margin-top:35.1pt;mso-position-vertical:absolute;width:106.8pt;height:105.3pt;mso-wrap-distance-left:1.0pt;mso-wrap-distance-top:1.0pt;mso-wrap-distance-right:1.0pt;mso-wrap-distance-bottom:1.0pt;" stroked="false">
                      <v:path textboxrect="0,0,0,0"/>
                      <w10:wrap type="square"/>
                      <v:imagedata r:id="rId12" o:title=""/>
                    </v:shape>
                  </w:pict>
                </mc:Fallback>
              </mc:AlternateContent>
            </w:r>
            <w:r/>
          </w:p>
        </w:tc>
        <w:tc>
          <w:tcPr>
            <w:shd w:val="clear" w:color="auto" w:fill="auto"/>
            <w:tcW w:w="5546" w:type="dxa"/>
            <w:textDirection w:val="lrTb"/>
            <w:noWrap w:val="false"/>
          </w:tcPr>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1" behindDoc="0" locked="0" layoutInCell="1" allowOverlap="1">
                      <wp:simplePos x="0" y="0"/>
                      <wp:positionH relativeFrom="column">
                        <wp:posOffset>929640</wp:posOffset>
                      </wp:positionH>
                      <wp:positionV relativeFrom="paragraph">
                        <wp:posOffset>123190</wp:posOffset>
                      </wp:positionV>
                      <wp:extent cx="1835785" cy="1021080"/>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3"/>
                              <a:stretch/>
                            </pic:blipFill>
                            <pic:spPr bwMode="auto">
                              <a:xfrm>
                                <a:off x="0" y="0"/>
                                <a:ext cx="1835785" cy="102108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1000001;o:allowoverlap:true;o:allowincell:true;mso-position-horizontal-relative:text;margin-left:73.2pt;mso-position-horizontal:absolute;mso-position-vertical-relative:text;margin-top:9.7pt;mso-position-vertical:absolute;width:144.5pt;height:80.4pt;mso-wrap-distance-left:1.0pt;mso-wrap-distance-top:1.0pt;mso-wrap-distance-right:1.0pt;mso-wrap-distance-bottom:1.0pt;" stroked="false">
                      <v:path textboxrect="0,0,0,0"/>
                      <w10:wrap type="square"/>
                      <v:imagedata r:id="rId13" o:title=""/>
                    </v:shape>
                  </w:pict>
                </mc:Fallback>
              </mc:AlternateContent>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20"/>
                <w:lang w:val="fr-FR"/>
              </w:rPr>
            </w:pPr>
            <w:r>
              <w:rPr>
                <w:rFonts w:ascii="Lato" w:hAnsi="Lato" w:eastAsia="Tahoma"/>
                <w:b w:val="0"/>
                <w:sz w:val="20"/>
                <w:lang w:val="fr-FR"/>
              </w:rPr>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SASU LVT, AGENCE LVT IMMOBILIER, </w:t>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Rue Jean Tarde 24200 SARLAT LA CANEDA,</w:t>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titulaire de la carte professionnelle "Transaction sur Immeubles et Fonds de Commerce" CPI 2402 2016 000 003 817</w:t>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delivrée par la CCI de la Dordogne , non réception de fonds, effets ou valeurs, RCP AXA, sans garantie financière, </w:t>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b w:val="0"/>
                <w:sz w:val="18"/>
              </w:rPr>
              <w:t xml:space="preserve">SIRET 813 648 821 00011- RCS BERGERAC 813 648 82</w:t>
            </w:r>
            <w:r/>
          </w:p>
        </w:tc>
      </w:tr>
    </w:tbl>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t xml:space="preserve">MANDAT DE VENTE SANS EXCLUSIVITE </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2"/>
          <w:u w:val="single"/>
        </w:rPr>
      </w:pPr>
      <w:r>
        <w:rPr>
          <w:rFonts w:ascii="Lato" w:hAnsi="Lato" w:eastAsia="Tahoma"/>
          <w:sz w:val="18"/>
        </w:rPr>
        <w:t xml:space="preserve">N° </w:t>
      </w:r>
      <w:r>
        <w:rPr>
          <w:rFonts w:ascii="Lato" w:hAnsi="Lato" w:eastAsia="Tahoma"/>
          <w:b/>
          <w:sz w:val="18"/>
        </w:rPr>
        <w:t xml:space="preserve">1339</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sz w:val="22"/>
          <w:u w:val="single"/>
        </w:rPr>
        <w:t xml:space="preserve">(Avec faculté de rétractation)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b/>
          <w:u w:val="single"/>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b/>
          <w:u w:val="single"/>
        </w:rPr>
        <w:t xml:space="preserve">Nous, soussignés,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SOUDE  Régis et Véronique PETIT   – chemin de Vergt -  24200 SAINT VINCENT LE PALUEL</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Agissant conjointement et solidairement </w:t>
      </w:r>
      <w:r>
        <w:rPr>
          <w:rFonts w:ascii="Lato" w:hAnsi="Lato" w:eastAsia="Tahoma"/>
          <w:b/>
          <w:sz w:val="16"/>
          <w:lang w:val="fr-FR"/>
        </w:rPr>
        <w:t xml:space="preserve">en qualité de seuls propriétaires, </w:t>
      </w:r>
      <w:r>
        <w:rPr>
          <w:rFonts w:ascii="Lato" w:hAnsi="Lato" w:eastAsia="Tahoma"/>
          <w:sz w:val="16"/>
          <w:lang w:val="fr-FR"/>
        </w:rPr>
        <w:t xml:space="preserve">vous  mandatons par la présente afin de rechercher un acquéreur et faire toutes les démarches en vue de vendre les biens et droits, ci-dessous désignés, nous engageant à produire toutes justifications de propriété.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4"/>
          <w:lang w:val="fr-FR"/>
        </w:rPr>
        <w:t xml:space="preserve">* Si vous ne souhaitez pas faire l'objet d</w:t>
      </w:r>
      <w:r>
        <w:rPr>
          <w:rFonts w:ascii="Lato" w:hAnsi="Lato" w:eastAsia="Tahoma"/>
          <w:sz w:val="14"/>
          <w:lang w:val="fr-FR"/>
        </w:rPr>
        <w:t xml:space="preserve">e prospection commerciale par voie téléphonique, vous pouvez vous  inscrire gratuitement su la liste d'opposition prévue à l'article L223-1 du code de la consommation sur le site internet www.bloctel.gouv.fr/ ou par courrier adressé à: Société OPPOSETEL, s</w:t>
      </w:r>
      <w:r>
        <w:rPr>
          <w:rFonts w:ascii="Lato" w:hAnsi="Lato" w:eastAsia="Tahoma"/>
          <w:sz w:val="14"/>
          <w:lang w:val="fr-FR"/>
        </w:rPr>
        <w:t xml:space="preserve">ervice BLOCTEL-6, Rue Nicolas Siret- 10 000 TROYES. Si vous êtes déjà inscrit à la liste BLOCTEL, le fait que vous nous communiquiez vos coordonnées téléphoniques nous autorise à utiliser celles-ci pour vous rappeler dans le cadre de la présente opération.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Substitution et délégation automatique au profit de l’ensemble des professionnels de l’immobilier adhérents au Groupement LABEL PIERRES  ou au profit de tout professionnel spécifiquement sélectionné.</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 1. Situation - Désignation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chem</w:t>
      </w:r>
      <w:r>
        <w:rPr>
          <w:rFonts w:ascii="Lato" w:hAnsi="Lato" w:eastAsia="Tahoma"/>
          <w:sz w:val="16"/>
          <w:lang w:val="fr-FR"/>
        </w:rPr>
        <w:t xml:space="preserve">in de Vergt -  24200 Saint Vincent le Paluel</w:t>
        <w:br/>
        <w:t xml:space="preserve">A 5 minutes de Sarlat, venez découvrir cette belle maison entièrement rénovée de 188m2 sur sous sol entier, érigée sur un terrain de 1 920m2 entièrement clôturé. Celle-ci se compose d'une entrée avec wc indépendant, o</w:t>
      </w:r>
      <w:r>
        <w:rPr>
          <w:rFonts w:ascii="Lato" w:hAnsi="Lato" w:eastAsia="Tahoma"/>
          <w:sz w:val="16"/>
          <w:lang w:val="fr-FR"/>
        </w:rPr>
        <w:t xml:space="preserve">uvrant sur une belle pièce de vie lumineuse avec accès terrasse, une cuisine équipée, une chambre ainsi qu'une belle suite parentale avec salle d'eau et dressing ; A l'étage se trouve trois chambres dont une en suite avec salle d'eau privative et dressing,</w:t>
      </w:r>
      <w:r>
        <w:rPr>
          <w:rFonts w:ascii="Lato" w:hAnsi="Lato" w:eastAsia="Tahoma"/>
          <w:sz w:val="16"/>
          <w:lang w:val="fr-FR"/>
        </w:rPr>
        <w:t xml:space="preserve"> une salle d'eau ainsi qu'un wc indépendant. </w:t>
        <w:br/>
        <w:t xml:space="preserve">Fosse septique conforme - Chauffage central avec  Poêle à granulés - Double vitrage  </w:t>
        <w:br/>
        <w:t xml:space="preserve">Les informations sur les risques auxquels ce bien est exposé sont disponibles sur le site Géorisques: www.georisques.gouv.fr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REFERENCE(S) CADASTRALE(S):  A 0909 et 0914 pour une contenance totale de 1920 m2</w:t>
      </w:r>
      <w:r/>
      <w:r>
        <w:rPr>
          <w:rFonts w:ascii="Lato" w:hAnsi="Lato" w:eastAsia="Tahoma"/>
          <w:b/>
          <w:sz w:val="20"/>
          <w:u w:val="single"/>
        </w:rPr>
      </w:r>
      <w:r/>
      <w:r>
        <w:rPr>
          <w:rFonts w:ascii="Lato" w:hAnsi="Lato" w:eastAsia="Tahoma"/>
          <w:sz w:val="16"/>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rPr>
        <w:t xml:space="preserve"> </w:t>
      </w:r>
      <w:r>
        <w:rPr>
          <w:rFonts w:ascii="Lato" w:hAnsi="Lato" w:eastAsia="Tahoma"/>
          <w:b/>
          <w:sz w:val="20"/>
          <w:u w:val="single"/>
          <w:lang w:val="fr-FR"/>
        </w:rPr>
        <w:t xml:space="preserve">2. Prix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prix demandé par le(s) mandant(s), vendeur(s) des biens et droits ci-avant désignés est, sauf accord ultérieur de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460 000 € -  quatre cent soixante mille euros   payable comptant le jour de la signature de l'acte authentique, tant à l'aide de prêts que de fonds propres de l'acquéreur. </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3. Honoraires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6"/>
          <w:lang w:val="fr-FR"/>
        </w:rPr>
        <w:t xml:space="preserve">Les honoraires de l'agence LVT IMMOBILIER seront de : 23 000 € TTC  soit  5 % .  Ils seront à la charge de l'acquéreur.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4"/>
          <w:lang w:val="fr-FR"/>
        </w:rPr>
        <w:t xml:space="preserve">Ils seront exigibles le jour ou l'opération sera effectivement conclue et constatée dans un acte écrit, signé des 2 parties, conformément à l'article 74 du décret 72-678 du 20 juillet 1972.</w:t>
      </w:r>
      <w:r/>
      <w:r>
        <w:rPr>
          <w:rFonts w:ascii="Lato" w:hAnsi="Lato" w:eastAsia="Tahoma"/>
          <w:b/>
          <w:sz w:val="20"/>
          <w:u w:val="single"/>
          <w:lang w:val="fr-FR"/>
        </w:rPr>
      </w:r>
      <w:r/>
      <w:r>
        <w:rPr>
          <w:rFonts w:ascii="Lato" w:hAnsi="Lato" w:eastAsia="Tahoma"/>
          <w:sz w:val="18"/>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b/>
          <w:sz w:val="20"/>
          <w:u w:val="single"/>
          <w:lang w:val="fr-FR"/>
        </w:rPr>
        <w:t xml:space="preserve"> 4. Durée du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pour une durée de vingt quatre (24) mois, dont les trois prem</w:t>
      </w:r>
      <w:r>
        <w:rPr>
          <w:rFonts w:ascii="Lato" w:hAnsi="Lato" w:eastAsia="Tahoma"/>
          <w:sz w:val="16"/>
          <w:lang w:val="fr-FR"/>
        </w:rPr>
        <w:t xml:space="preserve">iers mois sont irrévocables. Passé cette période d'irrévocabilité, il pourra être dénoncé à tout moment par chacune des parties, à charge pour celle qui entend y mettre fin d'en aviser l'autre partie quinze jours à l'avance par lettre recommandée avec A.R.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 Article L136-1 du code de la consommation modifié par la loi n°2014-344 du 17/03/2014 art.35. 'Le professionnel prestataire de ser</w:t>
      </w:r>
      <w:r>
        <w:rPr>
          <w:rFonts w:ascii="Lato" w:hAnsi="Lato" w:eastAsia="Tahoma"/>
          <w:sz w:val="14"/>
          <w:lang w:val="fr-FR"/>
        </w:rPr>
        <w:t xml:space="preserve">vices informe le consommateur par écrit, par lettre nominative ou courrier électronique dédié, au plus tôt trois mois et au plus tard un mois avant le terme de la période autorisant le rejet de la reconduction, de la possibilité de ne pas reconduire le con</w:t>
      </w:r>
      <w:r>
        <w:rPr>
          <w:rFonts w:ascii="Lato" w:hAnsi="Lato" w:eastAsia="Tahoma"/>
          <w:sz w:val="14"/>
          <w:lang w:val="fr-FR"/>
        </w:rPr>
        <w:t xml:space="preserve">trat qu'il a conclu avec une clause de reconduction tacite. Cette information, délivrée dans des termes clairs et compréhensibles, mentionne, dans un encadré apparent, la date limite de résiliation. Lorsque cette information ne lui a pas été adréssée confo</w:t>
      </w:r>
      <w:r>
        <w:rPr>
          <w:rFonts w:ascii="Lato" w:hAnsi="Lato" w:eastAsia="Tahoma"/>
          <w:sz w:val="14"/>
          <w:lang w:val="fr-FR"/>
        </w:rPr>
        <w:t xml:space="preserve">rmément aux dispositions du premier alinéa, le consommateur peut mettre gratuitement un terme au contrat, à tout moment à compter de la date de reconduction. Les avances effectuées après la dernière date de reconduction ou, s'agissant des contrats à durée </w:t>
      </w:r>
      <w:r>
        <w:rPr>
          <w:rFonts w:ascii="Lato" w:hAnsi="Lato" w:eastAsia="Tahoma"/>
          <w:sz w:val="14"/>
          <w:lang w:val="fr-FR"/>
        </w:rPr>
        <w:t xml:space="preserve">indéterminée, après la date de transformation du contrat initial à durée déterminée , sont dans ce cas remboursées dans un délai de trente jours à compter de la date de résiliation, déduction faite des sommes correspondant, jusqu'à celle-ci, à l'exécution </w:t>
      </w:r>
      <w:r>
        <w:rPr>
          <w:rFonts w:ascii="Lato" w:hAnsi="Lato" w:eastAsia="Tahoma"/>
          <w:sz w:val="14"/>
          <w:lang w:val="fr-FR"/>
        </w:rPr>
        <w:t xml:space="preserve">du contrat. A défaut de remboursement dans les conditions prévues ci-dessus, les sommes dues sont productives d'intérêts au taux légal. Les dispositions du présentarticle s'appliquent sans préjudice de celles qui soumettent légalement certains contrats à d</w:t>
      </w:r>
      <w:r>
        <w:rPr>
          <w:rFonts w:ascii="Lato" w:hAnsi="Lato" w:eastAsia="Tahoma"/>
          <w:sz w:val="14"/>
          <w:lang w:val="fr-FR"/>
        </w:rPr>
        <w:t xml:space="preserve">es règles particulières en ce qui conserne l'information du consommateur.Les trois alinéas précédent ne sont pas applicables aux exploitants des services d'eau potable et d'assainissement. Ils sont applicables aux consommateurs et aux non-professionnels." </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5. Conditions particulières :</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6. Surface privative 'Loi Carrez' et surface habitable (si copropriété) :</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20"/>
          <w:u w:val="single"/>
          <w:lang w:val="fr-FR"/>
        </w:rPr>
        <w:t xml:space="preserve">7. Moyens de diffusion des annonces commerciales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De par son appartenance au Groupement LABEL PIERRES, l'annonce commerciale est susceptible d'être diffusée sur un ou plusieurs des sites internet des agences membres du Groupement, sur un ou plusieurs des sites de nos agences partenaires en France o</w:t>
      </w:r>
      <w:r>
        <w:rPr>
          <w:rFonts w:ascii="Lato" w:hAnsi="Lato" w:eastAsia="Tahoma"/>
          <w:sz w:val="16"/>
          <w:lang w:val="fr-FR"/>
        </w:rPr>
        <w:t xml:space="preserve">u à l'étranger, ainsi que d'apparaître ponctuellement sur certains portails francais et étranger en fonction des choix de campagne de l'agence  de communication, et notamment : Se Loger.com, A Vendre A Louer, Green-Acres, Bien Ici,  Le Bon Coin, Logic Immo</w:t>
      </w:r>
      <w:r>
        <w:rPr>
          <w:rFonts w:ascii="Lato" w:hAnsi="Lato" w:eastAsia="Tahoma"/>
          <w:sz w:val="16"/>
          <w:lang w:val="fr-FR"/>
        </w:rPr>
        <w:t xml:space="preserve">, etc... Le mandant autorise l'agence LVT IMMOBILIER à saisir l'ensemble des informations contenues dans le présent mandat sur le fichier intranet du Groupement ImmobilierLABEL PIERRES et à poser un panneau sur le bien immobilier si l'agence le juge utile.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8. Plus-value et T.V.A. :</w:t>
      </w:r>
      <w:r/>
      <w:r>
        <w:rPr>
          <w:rFonts w:ascii="Lato" w:hAnsi="Lato" w:eastAsia="Tahoma"/>
          <w:sz w:val="16"/>
          <w:lang w:val="fr-FR"/>
        </w:rPr>
      </w:r>
      <w:r/>
      <w:r>
        <w:rPr>
          <w:rFonts w:ascii="Lato" w:hAnsi="Lato" w:eastAsia="Tahoma"/>
          <w:b/>
          <w:sz w:val="16"/>
          <w:u w:val="singl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Les parties reconnaissent avoir été informées des dispositions fiscales concernant les plus-values et déclarent agir en toute connaissance de cause. Si la vente est assujettie à la T.V.A. le prix ci-dessus stipulé s'entend T.V.A. incluse.</w:t>
      </w:r>
      <w:r/>
      <w:r>
        <w:rPr>
          <w:rFonts w:ascii="Lato" w:hAnsi="Lato" w:eastAsia="Tahoma"/>
          <w:sz w:val="16"/>
          <w:lang w:val="fr-FR"/>
        </w:rPr>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r>
      <w:r/>
      <w:r>
        <w:rPr>
          <w:rFonts w:ascii="Lato" w:hAnsi="Lato" w:eastAsia="Tahoma"/>
          <w:sz w:val="16"/>
          <w:lang w:val="fr-FR"/>
        </w:rPr>
      </w:r>
      <w:r>
        <w:rPr>
          <w:rFonts w:ascii="Lato" w:hAnsi="Lato" w:eastAsia="Tahoma"/>
          <w:sz w:val="16"/>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9 .Pouvoirs du mandataire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pouvoirs vous sont donnés pour mener à bien votre mission. Vous pourrez notamment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sz w:val="16"/>
          <w:lang w:val="fr-FR"/>
        </w:rPr>
        <w:t xml:space="preserve"> 1- Faire tout ce qui vous sera utile pour parveni</w:t>
      </w:r>
      <w:r>
        <w:rPr>
          <w:rFonts w:ascii="Lato" w:hAnsi="Lato" w:eastAsia="Tahoma"/>
          <w:sz w:val="16"/>
          <w:lang w:val="fr-FR"/>
        </w:rPr>
        <w:t xml:space="preserve">r à la vente et notamment toute publicité sur tous supports à votre convenance, y compris sur fichiers informatiques librement accessibles (internet, ...) mais à vos frais seulement; apposer un panneau de mise en vente à l'endroit que vous jugerez le plus </w:t>
      </w:r>
      <w:r>
        <w:rPr>
          <w:rFonts w:ascii="Lato" w:hAnsi="Lato" w:eastAsia="Tahoma"/>
          <w:color w:val="000000" w:themeColor="text1"/>
          <w:sz w:val="16"/>
          <w:lang w:val="fr-FR"/>
        </w:rPr>
        <w:t xml:space="preserve">approprié; publier toute photographie, étant entendu que nous sommes seuls propriétaires du droit à l'image de notre bien. Le bien ne pourra faire </w:t>
      </w:r>
      <w:r>
        <w:rPr>
          <w:rFonts w:ascii="Lato" w:hAnsi="Lato" w:eastAsia="Tahoma"/>
          <w:color w:val="000000" w:themeColor="text1"/>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color w:val="000000" w:themeColor="text1"/>
          <w:sz w:val="16"/>
          <w:lang w:val="fr-FR"/>
        </w:rPr>
        <w:t xml:space="preserve">Le mandant pourra exercer son droit d'accès et de rectification conformément à l'article 27 de la loi du 6 janvier 1978.</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color w:val="000000" w:themeColor="text1"/>
          <w:sz w:val="16"/>
          <w:lang w:val="fr-FR"/>
        </w:rPr>
        <w:t xml:space="preserve">2- Réclamer toutes les pièces utiles auprès de toutes personnes privées ou publiques, notamment le certificat d'urbanisme.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color w:val="000000" w:themeColor="text1"/>
          <w:sz w:val="16"/>
          <w:lang w:val="fr-FR"/>
        </w:rPr>
        <w:t xml:space="preserve">3- Indiquer,présenter</w:t>
      </w:r>
      <w:r>
        <w:rPr>
          <w:rFonts w:ascii="Lato" w:hAnsi="Lato" w:eastAsia="Tahoma"/>
          <w:sz w:val="16"/>
          <w:lang w:val="fr-FR"/>
        </w:rPr>
        <w:t xml:space="preserve"> et faire visiter les biens à vendre à toutes personnes. A cet effet, nous nous obligeons à vous assurer le moyen de visiter pendant le cours du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d'aliéner, exigée par la loi. En cas d'exercice du </w:t>
      </w:r>
      <w:r>
        <w:rPr>
          <w:rFonts w:ascii="Lato" w:hAnsi="Lato" w:eastAsia="Tahoma"/>
          <w:sz w:val="16"/>
          <w:lang w:val="fr-FR"/>
        </w:rPr>
        <w:t xml:space="preserve">droit de préemption, négocier avec l'organisme préempteur, bénéficiaire de ce droit à la condition de nous en avertir, étant entendu que nous gardons le droit d'accepter ou refuser le prix proposé par le préemteur, si ce prix est inférieur au prix demandé.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Sequestre</w:t>
      </w:r>
      <w:r>
        <w:rPr>
          <w:rFonts w:ascii="Lato" w:hAnsi="Lato" w:eastAsia="Tahoma"/>
          <w:sz w:val="16"/>
          <w:lang w:val="fr-FR"/>
        </w:rPr>
        <w:t xml:space="preserve">: En vue de garantir la bonne excécution des présentes et de leur suite, les fonds ou valeurs qu'il est d'usage de faire verser par l'acquéreur seront détenus par tout séquestre habilité à cet effet (notaire ou agence titulaire d'une garantie financière).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w:t>
      </w:r>
      <w:r>
        <w:rPr>
          <w:rFonts w:ascii="Lato" w:hAnsi="Lato" w:eastAsia="Tahoma"/>
          <w:sz w:val="16"/>
          <w:lang w:val="fr-FR"/>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technique: le vendeur fera effectuer sans délai l'ensemble des constats, états et diagnostics obligatoires. Ce dossier devra être annexé à l'engagement des parties.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adjointre ou substituer tout professionnel de votre choix pour l'accomplissement des présentes.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expressement le mandataire à demander au syndic en son nom et à ses frais, co</w:t>
      </w:r>
      <w:r>
        <w:rPr>
          <w:rFonts w:ascii="Lato" w:hAnsi="Lato" w:eastAsia="Tahoma"/>
          <w:sz w:val="16"/>
          <w:lang w:val="fr-FR"/>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Lato" w:hAnsi="Lato" w:eastAsia="Tahoma"/>
          <w:sz w:val="16"/>
          <w:lang w:val="fr-FR"/>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rPr>
          <w:rFonts w:ascii="Lato" w:hAnsi="Lato" w:eastAsia="Tahoma"/>
          <w:sz w:val="16"/>
          <w:lang w:val="fr-FR"/>
        </w:rPr>
      </w:r>
      <w:r/>
      <w:r>
        <w:rPr>
          <w:rFonts w:ascii="Lato" w:hAnsi="Lato" w:eastAsia="Tahoma"/>
          <w:sz w:val="16"/>
          <w:lang w:val="fr-FR"/>
        </w:rPr>
      </w:r>
      <w:r>
        <w:rPr>
          <w:rFonts w:ascii="Lato" w:hAnsi="Lato" w:eastAsia="Tahoma"/>
          <w:sz w:val="16"/>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10 .Mandat simple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sans exclusivité. En conséquence, et sous réserve de nos obligations fixées au $ IX ci-dessus, nous gardons toute liberté de vendre par nous-mêmes ou par l'intermédiare d'une autre agence.</w:t>
      </w:r>
      <w:r/>
      <w:r>
        <w:rPr>
          <w:rFonts w:ascii="Lato" w:hAnsi="Lato" w:eastAsia="Tahoma"/>
          <w:sz w:val="16"/>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 11. Vente sans votre concours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-Dans le cas de vente sans votre concours,  nous nous engageons à vous en informer immédiatement par lettre recommandée avec accusé de</w:t>
      </w:r>
      <w:r>
        <w:rPr>
          <w:rFonts w:ascii="Lato" w:hAnsi="Lato" w:eastAsia="Tahoma"/>
          <w:sz w:val="16"/>
          <w:lang w:val="fr-FR"/>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20"/>
          <w:u w:val="single"/>
          <w:lang w:val="fr-FR"/>
        </w:rPr>
        <w:t xml:space="preserve"> 12. Clause pénale:</w:t>
      </w:r>
      <w:r>
        <w:rPr>
          <w:rFonts w:ascii="Lato" w:hAnsi="Lato" w:eastAsia="Tahoma"/>
          <w:sz w:val="16"/>
          <w:lang w:val="fr-FR"/>
        </w:rPr>
        <w:t xml:space="preserve">: En cas de non respect de la clause ci-dessu</w:t>
      </w:r>
      <w:r>
        <w:rPr>
          <w:rFonts w:ascii="Lato" w:hAnsi="Lato" w:eastAsia="Tahoma"/>
          <w:sz w:val="16"/>
          <w:lang w:val="fr-FR"/>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Lato" w:hAnsi="Lato" w:eastAsia="Tahoma"/>
          <w:sz w:val="16"/>
          <w:lang w:val="fr-FR"/>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r>
        <w:rPr>
          <w:rFonts w:ascii="Lato" w:hAnsi="Lato" w:eastAsia="Tahoma"/>
          <w:b/>
          <w:sz w:val="20"/>
          <w:u w:val="single"/>
          <w:lang w:val="fr-FR"/>
        </w:rPr>
      </w:r>
      <w:r/>
      <w:r>
        <w:rPr>
          <w:rFonts w:ascii="Lato" w:hAnsi="Lato" w:eastAsia="Tahoma"/>
          <w:b/>
          <w:sz w:val="18"/>
          <w:u w:val="singl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13. Obligations du mandant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w:t>
      </w:r>
      <w:r>
        <w:rPr>
          <w:rFonts w:ascii="Lato" w:hAnsi="Lato" w:eastAsia="Tahoma"/>
          <w:sz w:val="16"/>
          <w:lang w:val="fr-FR"/>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-Clause pénale : En cas d'infraction aux obligations stipulées au paragraphe ci-dessus, le mandant versera une indemnité compensatrice forfaitaire égale à la rémunération prévue au présent mandat</w:t>
      </w:r>
      <w:r/>
      <w:r>
        <w:rPr>
          <w:rFonts w:ascii="Lato" w:hAnsi="Lato" w:eastAsia="Tahoma"/>
          <w:b/>
          <w:sz w:val="18"/>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14. Discrimination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16"/>
          <w:lang w:val="fr-FR"/>
        </w:rPr>
        <w:t xml:space="preserve">Les parties prennent l'engagement exprès de n'opposer à un candidat à l'acquisition de</w:t>
      </w:r>
      <w:r>
        <w:rPr>
          <w:rFonts w:ascii="Lato" w:hAnsi="Lato" w:eastAsia="Tahoma"/>
          <w:sz w:val="16"/>
          <w:lang w:val="fr-FR"/>
        </w:rPr>
        <w:t xml:space="preserve">s présents biens aucun refus fondé sur un motif discriminatoire au sens de l'article 225-1 du code pénal. Toute discrimination commise à l'égard d'une personne est punie de trois ans d'emprisonnement et 45 000 euros d'amende ( article 225-2 du code pénal).</w:t>
      </w:r>
      <w:r/>
      <w:r>
        <w:rPr>
          <w:rFonts w:ascii="Lato" w:hAnsi="Lato" w:eastAsia="Tahoma"/>
          <w:b/>
          <w:sz w:val="18"/>
          <w:u w:val="single"/>
          <w:lang w:val="fr-FR"/>
        </w:rPr>
      </w:r>
      <w:r/>
      <w:r>
        <w:rPr>
          <w:rFonts w:ascii="Lato" w:hAnsi="Lato" w:eastAsia="Tahoma"/>
          <w:sz w:val="20"/>
          <w:lang w:val="fr-FR"/>
        </w:rPr>
      </w:r>
    </w:p>
    <w:p>
      <w:pPr>
        <w:spacing w:after="160" w:line="259" w:lineRule="auto"/>
        <w:rPr>
          <w:rFonts w:ascii="Lato" w:hAnsi="Lato" w:eastAsia="Tahoma"/>
          <w:b/>
          <w:bCs/>
          <w:u w:val="single"/>
          <w:lang w:val="fr-FR"/>
        </w:rPr>
      </w:pPr>
      <w:r>
        <w:rPr>
          <w:rFonts w:ascii="Lato" w:hAnsi="Lato" w:eastAsia="Tahoma"/>
          <w:b/>
          <w:u w:val="single"/>
          <w:lang w:val="fr-FR"/>
        </w:rPr>
        <w:t xml:space="preserve">15. Médiation des litiges de la consommation :</w:t>
      </w:r>
      <w:r>
        <w:rPr>
          <w:rFonts w:ascii="Lato" w:hAnsi="Lato" w:eastAsia="Tahoma"/>
          <w:lang w:val="fr-FR"/>
        </w:rPr>
      </w:r>
    </w:p>
    <w:p>
      <w:pPr>
        <w:spacing w:after="160" w:line="259" w:lineRule="auto"/>
        <w:rPr>
          <w:rFonts w:ascii="Lato" w:hAnsi="Lato" w:eastAsia="Tahoma"/>
          <w:lang w:val="fr-FR"/>
        </w:rPr>
      </w:pPr>
      <w:r>
        <w:rPr>
          <w:rFonts w:ascii="Lato" w:hAnsi="Lato" w:eastAsia="Tahoma"/>
          <w:b/>
          <w:u w:val="single"/>
          <w:lang w:val="fr-FR"/>
        </w:rPr>
      </w:r>
      <w:r>
        <w:rPr>
          <w:rFonts w:ascii="Lato" w:hAnsi="Lato" w:eastAsia="Tahoma"/>
          <w:sz w:val="16"/>
          <w:lang w:val="fr-FR"/>
        </w:rPr>
        <w:t xml:space="preserve">Tout consommateur a le droit de recourir gratuitement à un médiateur de la consommation en vue de l</w:t>
      </w:r>
      <w:r>
        <w:rPr>
          <w:rFonts w:ascii="Lato" w:hAnsi="Lato" w:eastAsia="Tahoma"/>
          <w:sz w:val="16"/>
          <w:lang w:val="fr-FR"/>
        </w:rPr>
        <w:t xml:space="preserve">a résolution amiable du litige qui l'oppose à un professionnel. A cet effet, le professionnel garantit au consommateur le recours effectif à un dispositif de médiation de la consommation, en vertu des articles L611-1 et suivants du code de la consommation.</w:t>
      </w:r>
      <w:r>
        <w:rPr>
          <w:rFonts w:ascii="Lato" w:hAnsi="Lato" w:eastAsia="Tahoma"/>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8"/>
          <w:lang w:val="fr-FR"/>
        </w:rPr>
        <w:t xml:space="preserve">Notre médiateur de la consommation: </w:t>
      </w:r>
      <w:r>
        <w:rPr>
          <w:rFonts w:ascii="Lato" w:hAnsi="Lato" w:eastAsia="Tahoma"/>
          <w:sz w:val="16"/>
          <w:lang w:val="fr-FR"/>
        </w:rPr>
        <w:t xml:space="preserve">Vivons mieux ensemble 465 avenue de la Libération 54000 Nancy</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06 61 18 50 97 www.mediation-vivons-mieux-ensemble.fr /mediation@vivons-mieux-ensemble.fr</w:t>
      </w:r>
      <w:r/>
      <w:r>
        <w:rPr>
          <w:rFonts w:ascii="Lato" w:hAnsi="Lato" w:eastAsia="Tahoma"/>
          <w:sz w:val="18"/>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t xml:space="preserve">16. Informatique, liberté, RGPD:</w:t>
      </w:r>
      <w:r/>
      <w:r>
        <w:rPr>
          <w:rFonts w:ascii="Lato" w:hAnsi="Lato" w:eastAsia="Tahoma"/>
          <w:sz w:val="18"/>
          <w:lang w:val="fr-FR"/>
        </w:rPr>
      </w:r>
      <w:r/>
      <w:r>
        <w:rPr>
          <w:rFonts w:ascii="Lato" w:hAnsi="Lato" w:eastAsia="Tahoma"/>
          <w:b/>
          <w:sz w:val="20"/>
          <w:u w:val="singl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 nom, adresse, email et postale)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6"/>
          <w:lang w:val="fr-FR"/>
        </w:rPr>
        <w:t xml:space="preserve">Le mandant reconnaît avoir pris connaissance et accepter la dite politique.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t xml:space="preserve">Le mandant déclare et reconnaît que préalablement à la signature des présentes, il a reçu les informations pr</w:t>
      </w:r>
      <w:r>
        <w:rPr>
          <w:rFonts w:ascii="Lato" w:hAnsi="Lato" w:eastAsia="Tahoma"/>
          <w:b/>
          <w:sz w:val="16"/>
          <w:lang w:val="fr-FR"/>
        </w:rPr>
        <w:t xml:space="preserve">évues aux articles L111-1, L111-2 et L121-17 du Code de la consommation , qu'il a eu le temps nécessaire et suffisant pour en prendre connaissance, se renseigner et les comprendre, ainsi que du traitement des données personnelles ( RGPD) par le mandataire.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Il reconnaît avoir pris connaissance des conditions générales de l'intégralité des présentes pages 1 à 4.</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u w:val="single"/>
          <w:lang w:val="fr-FR"/>
        </w:rPr>
        <w:t xml:space="preserve">Option Exécution immédiate du mandat.</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prestations devant être excécutées par le mandataire dans le cadre des présentes et notamment la diffusion d'annonces portant sur l'offre de vente des biens, peuvent débuter dès aujourd'hui, mais nous conservons la faculté de nous rétracter.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lang w:val="fr-FR"/>
        </w:rPr>
        <w:t xml:space="preserve"> Fait à                                                     le 12 juin 2024</w:t>
      </w:r>
      <w:r>
        <w:rPr>
          <w:rFonts w:ascii="Lato" w:hAnsi="Lato" w:eastAsia="Tahoma"/>
          <w:b/>
          <w:lang w:val="fr-FR"/>
        </w:rPr>
      </w:r>
      <w:r>
        <w:rPr>
          <w:rFonts w:ascii="Lato" w:hAnsi="Lato" w:eastAsia="Tahoma"/>
          <w:b/>
          <w:lang w:val="fr-FR"/>
        </w:rPr>
      </w:r>
      <w:r>
        <w:rPr>
          <w:rFonts w:ascii="Lato" w:hAnsi="Lato" w:eastAsia="Tahoma"/>
          <w:b/>
          <w:lang w:val="fr-FR"/>
        </w:rPr>
      </w:r>
      <w:r>
        <w:rPr>
          <w:rFonts w:ascii="Lato" w:hAnsi="Lato" w:eastAsia="Tahoma"/>
          <w:b/>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mandant reconnaît expressement qu'un exemplaire du mandat numéroté et signé est laissé en sa possession à l'issue de la ratification des présentes.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(s) Propriétaire(s)</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LVT IMMOBILIER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highlight w:val="none"/>
          <w:lang w:val="fr-FR"/>
        </w:rPr>
      </w:pPr>
      <w:r>
        <w:rPr>
          <w:rFonts w:ascii="Lato" w:hAnsi="Lato" w:eastAsia="Tahoma"/>
          <w:sz w:val="16"/>
          <w:lang w:val="fr-FR"/>
        </w:rPr>
        <w:t xml:space="preserve"> 'Lu et approuvé, Bon pour mandat' </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'Lu et approuvé,Mandat Accepté'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lang w:val="fr-FR"/>
        </w:rPr>
      </w:pPr>
      <w:r>
        <w:rPr>
          <w:rFonts w:ascii="Lato" w:hAnsi="Lato" w:eastAsia="Tahoma"/>
          <w:sz w:val="16"/>
          <w:highlight w:val="none"/>
          <w:lang w:val="fr-FR"/>
        </w:rPr>
        <w:tab/>
        <w:tab/>
        <w:tab/>
        <w:tab/>
        <w:tab/>
        <w:tab/>
        <w:t xml:space="preserve">Lu et approuvé, Mandat accepté</w:t>
      </w:r>
      <w:r>
        <w:rPr>
          <w:rFonts w:ascii="Lato" w:hAnsi="Lato" w:eastAsia="Tahoma"/>
          <w:sz w:val="16"/>
          <w:highlight w:val="none"/>
          <w:lang w:val="fr-FR"/>
        </w:rPr>
      </w:r>
    </w:p>
    <w:p>
      <w:pPr>
        <w:pStyle w:val="718"/>
        <w:ind w:left="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ab/>
        <w:tab/>
        <w:tab/>
        <w:tab/>
        <w:tab/>
      </w:r>
      <w:r>
        <w:rPr>
          <w:rFonts w:ascii="Lato" w:hAnsi="Lato" w:eastAsia="Tahoma"/>
          <w:sz w:val="16"/>
          <w:lang w:val="fr-FR"/>
        </w:rPr>
        <mc:AlternateContent>
          <mc:Choice Requires="wpg">
            <w:drawing>
              <wp:inline xmlns:wp="http://schemas.openxmlformats.org/drawingml/2006/wordprocessingDrawing" distT="0" distB="0" distL="0" distR="0">
                <wp:extent cx="2463800" cy="1294221"/>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250312" name=""/>
                        <pic:cNvPicPr>
                          <a:picLocks noChangeAspect="1"/>
                        </pic:cNvPicPr>
                        <pic:nvPr/>
                      </pic:nvPicPr>
                      <pic:blipFill>
                        <a:blip r:embed="rId14"/>
                        <a:stretch/>
                      </pic:blipFill>
                      <pic:spPr bwMode="auto">
                        <a:xfrm flipH="0" flipV="0">
                          <a:off x="0" y="0"/>
                          <a:ext cx="2463799" cy="129422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194.0pt;height:101.9pt;mso-wrap-distance-left:0.0pt;mso-wrap-distance-top:0.0pt;mso-wrap-distance-right:0.0pt;mso-wrap-distance-bottom:0.0pt;" stroked="false">
                <v:path textboxrect="0,0,0,0"/>
                <v:imagedata r:id="rId14" o:title=""/>
              </v:shape>
            </w:pict>
          </mc:Fallback>
        </mc:AlternateContent>
      </w:r>
      <w:r>
        <w:rPr>
          <w:rFonts w:ascii="Lato" w:hAnsi="Lato" w:eastAsia="Tahoma"/>
          <w:sz w:val="16"/>
          <w:lang w:val="fr-FR"/>
        </w:rPr>
      </w:r>
      <w:r>
        <w:rPr>
          <w:rFonts w:ascii="Lato" w:hAnsi="Lato" w:eastAsia="Tahoma"/>
          <w:b/>
          <w:lang w:val="fr-FR"/>
        </w:rPr>
      </w:r>
      <w:r>
        <w:rPr>
          <w:rFonts w:ascii="Lato" w:hAnsi="Lato" w:eastAsia="Tahoma"/>
          <w:b/>
          <w:lang w:val="fr-FR"/>
        </w:rPr>
      </w:r>
      <w:r>
        <w:rPr>
          <w:rFonts w:ascii="Lato" w:hAnsi="Lato" w:eastAsia="Tahoma"/>
          <w:b/>
          <w:lang w:val="fr-FR"/>
        </w:rPr>
      </w:r>
      <w:r>
        <w:rPr>
          <w:rFonts w:ascii="Lato" w:hAnsi="Lato" w:eastAsia="Tahoma"/>
          <w:sz w:val="16"/>
          <w:lang w:val="fr-FR"/>
        </w:rPr>
      </w:r>
      <w:r/>
    </w:p>
    <w:p>
      <w:pPr>
        <w:spacing w:after="160" w:line="259" w:lineRule="auto"/>
        <w:rPr>
          <w:rFonts w:ascii="Lato" w:hAnsi="Lato" w:eastAsia="Tahoma"/>
          <w:sz w:val="16"/>
          <w:lang w:val="fr-FR"/>
        </w:rPr>
        <w:sectPr>
          <w:headerReference w:type="default" r:id="rId9"/>
          <w:footerReference w:type="default" r:id="rId10"/>
          <w:footnotePr/>
          <w:endnotePr/>
          <w:type w:val="nextPage"/>
          <w:pgSz w:w="11903" w:h="16837" w:orient="portrait"/>
          <w:pgMar w:top="284" w:right="567" w:bottom="284" w:left="680" w:header="567" w:footer="567" w:gutter="0"/>
          <w:cols w:num="1" w:sep="0" w:space="720" w:equalWidth="1"/>
          <w:docGrid w:linePitch="360"/>
        </w:sect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lang w:val="fr-FR"/>
        </w:rPr>
      </w:pPr>
      <w:r>
        <w:rPr>
          <w:rFonts w:ascii="Lato" w:hAnsi="Lato"/>
          <w:lang w:val="fr-FR"/>
        </w:rPr>
        <w:tab/>
        <w:t xml:space="preserve">=======================================================</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b/>
          <w:sz w:val="28"/>
          <w:lang w:val="fr-FR"/>
        </w:rPr>
      </w:pPr>
      <w:r>
        <w:rPr>
          <w:rFonts w:ascii="Lato" w:hAnsi="Lato"/>
          <w:b/>
          <w:sz w:val="28"/>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b/>
          <w:sz w:val="28"/>
          <w:lang w:val="fr-FR"/>
        </w:rPr>
        <w:t xml:space="preserve">FORMULAIRE DE RETRACTATION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 l'attention de</w:t>
      </w:r>
      <w:r>
        <w:rPr>
          <w:rFonts w:ascii="Lato" w:hAnsi="Lato" w:eastAsia="Tahoma"/>
          <w:b/>
          <w:sz w:val="20"/>
          <w:lang w:val="fr-FR"/>
        </w:rPr>
        <w:t xml:space="preserve"> LVT IMMOBILIER - Rue Jean Tarde 24200 SARLAT LA CANEDA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Je /nous notifie/notifions par la présente notre rétractation du contrat de mandat 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Nom.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Prénom.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Adresse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Date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sz w:val="20"/>
          <w:lang w:val="fr-FR"/>
        </w:rPr>
        <w:t xml:space="preserve">Signature(s) </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spacing w:after="160" w:line="259" w:lineRule="auto"/>
        <w:rPr>
          <w:rFonts w:ascii="Lato" w:hAnsi="Lato" w:eastAsia="Tahoma"/>
          <w:b/>
          <w:sz w:val="16"/>
          <w:u w:val="single"/>
          <w:lang w:val="fr-FR"/>
        </w:rPr>
      </w:pPr>
      <w:r>
        <w:rPr>
          <w:rFonts w:ascii="Lato" w:hAnsi="Lato" w:eastAsia="Tahoma"/>
          <w:b/>
          <w:sz w:val="16"/>
          <w:u w:val="single"/>
          <w:lang w:val="fr-FR"/>
        </w:rPr>
        <w:br w:type="page" w:clear="all"/>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u w:val="single"/>
          <w:lang w:val="fr-FR"/>
        </w:rPr>
        <w:t xml:space="preserve">INFORMATIONS PRECONTRACTUELLES</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Préalables à la signature d'un mandat </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Communication au consommateur en application des articles L111-11 et suivants du code de la consommation, le professionnel prestataire de services avec lequel vous entrez en relation vous informe: </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SASU LVT, AGENCE LVT IMMOBILIER, sise Rue Jean Tarde 24200 SARLAT LA CANEDA, lvt.immobilier@gmail.com- 05 53 29 99 36, titulaire de la carte professionnelle "Transaction sur Immeubles</w:t>
      </w:r>
      <w:r>
        <w:rPr>
          <w:rFonts w:ascii="Lato" w:hAnsi="Lato" w:eastAsia="Tahoma"/>
          <w:sz w:val="16"/>
          <w:lang w:val="fr-FR"/>
        </w:rPr>
        <w:t xml:space="preserve"> et Fonds de Commerce" CPI 2402 2016 000 003 817 delivrée par la CCI de la Dordogne , non réception de fonds, effets ou valeurs, RCP AXA, sans garantie financière, SIRET 813 648 821 00011- RCS BERGERAC 813 648 821 Représentée par : Laura VERNET Présidente.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 litige lié à l'éxécution du présent mandat, le consommateur peut saisir l'organisme. Vivons mieux ensemble 465 avenue de la Libération 54000 Nancy - 06 61 18 50 97 www.mediation-vivons-mieux-ensemble.fr /mediation@vivons-mieux-ensemble.fr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L'activité d'agent immobilier est régie par la loi°70-9 du 2 janvier 1970 réglementant les</w:t>
      </w:r>
      <w:r>
        <w:rPr>
          <w:rFonts w:ascii="Lato" w:hAnsi="Lato" w:eastAsia="Tahoma"/>
          <w:sz w:val="16"/>
          <w:lang w:val="fr-FR"/>
        </w:rPr>
        <w:t xml:space="preserve"> conditions d'exercice des activités relatives à certaines opérations portant sur les immeubles et les fonds de commerce et par son décret d'application N° 72-678 du 20 juillet 1972. Ces textes peuvent être consultés gratuitement sur www.legifrance.gouv.fr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INFORMATIONS CONCERNANT LES SERVICES PROPOSES PAR L'AGENCE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En qualité de propriétaire, </w:t>
      </w:r>
      <w:r>
        <w:rPr>
          <w:rFonts w:ascii="Lato" w:hAnsi="Lato" w:eastAsia="Tahoma"/>
          <w:sz w:val="16"/>
          <w:lang w:val="fr-FR"/>
        </w:rPr>
        <w:t xml:space="preserve">vous souhaitez nous mandater afin de rechercher un acquéreur et faire toutes les dé</w:t>
      </w:r>
      <w:r>
        <w:rPr>
          <w:rFonts w:ascii="Lato" w:hAnsi="Lato" w:eastAsia="Tahoma"/>
          <w:sz w:val="16"/>
          <w:lang w:val="fr-FR"/>
        </w:rPr>
        <w:t xml:space="preserve">marches en vue de vendre les biens et droits immobiliers qui vous appartiennent. L'agent immobilier est tenu à une obligation de moyens et non de résultat. A cet effet, vous envisager de nous confier un mandat simple de vente avec faculté de rétractation.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DUREE DU MANDAT &amp; CONDITIONS DE RESILIATION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est consenti pour une durée de 24 (vingt quatre)mois. Il ne pourra être dénoncé pendant les trois premiers mois. Ensuite, il pourra être dénoncé à tout moment, avec un préavis de 15 Jours par Lettre recommandée avec accusé de réception.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MODALITE DE PAIEMENT DES HONORAIRES D'AGENCE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Honoraires de l'agence seront exigibles le jour où l'opération sera effectivement conclue et constaté d</w:t>
      </w:r>
      <w:r>
        <w:rPr>
          <w:rFonts w:ascii="Lato" w:hAnsi="Lato" w:eastAsia="Tahoma"/>
          <w:sz w:val="16"/>
          <w:lang w:val="fr-FR"/>
        </w:rPr>
        <w:t xml:space="preserve">ans un acte écrit, signé des deux parties et, conformément à l'article 74 du décret N°72-678 du 20 Juillet 1972, après réalisation de toutes les conditions suspensives. Ils pourront être acquittés par virement. En contre partie de l'exécution de sa mission</w:t>
      </w:r>
      <w:r>
        <w:rPr>
          <w:rFonts w:ascii="Lato" w:hAnsi="Lato" w:eastAsia="Tahoma"/>
          <w:sz w:val="16"/>
          <w:lang w:val="fr-FR"/>
        </w:rPr>
        <w:t xml:space="preserve">, l'agence percevra des honoraires dont le montant est fixé conformément au bâreme des prestations tenues à disposition et affichées dans l'agence et accessibles à l'adresse suivante : https://www.immobilier-en-dordogne.com/custom/2016/HONORAIRESAGENCE.pdf</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ENGAGEMENTS SPECIFIQUES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Moyens de diffusion des annonces commerciales : BIEN ICI/ SE LOGER/ LE BON COIN/ IMMOFRANCE/ LABEL PIERRES/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u w:val="single"/>
          <w:lang w:val="fr-FR"/>
        </w:rPr>
        <w:t xml:space="preserve">CONDITIONS GENERALES DU MANDAT</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Pouvoirs du mandataire: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pouvoirs vous sont donnés pour mener à bien votre mission. Vous pourrez notamment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1- Faire tout ce qui vous sera utile pour parvenir à la vente et notamment toute publicité sur tous supports à votre convenance, y compris sur fichiers informatiques librement accessibles (interne</w:t>
      </w:r>
      <w:r>
        <w:rPr>
          <w:rFonts w:ascii="Lato" w:hAnsi="Lato" w:eastAsia="Tahoma"/>
          <w:sz w:val="16"/>
          <w:lang w:val="fr-FR"/>
        </w:rPr>
        <w:t xml:space="preserve">t, ...) mais à vos frais seulement; apposer un panneau de mise en vente à l'endroit que vous jugerez le plus approprié; publier toute photographie, étant entendu que nous sommes seuls propriétaires du droit à l'image de notre bien. Le bien ne pourra faire </w:t>
      </w:r>
      <w:r>
        <w:rPr>
          <w:rFonts w:ascii="Lato" w:hAnsi="Lato" w:eastAsia="Tahoma"/>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pourra exercer son droit d'accès et de rectification conformément à l'article 27 de la loi du 6 janvier 1978.</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2- Réclamer toutes les pièces utiles auprès de toutes personnes privées ou publiques, notamment le certificat d'urbanisme.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3- Indiquer,présenter et faire visiter les biens à vendre à toutes personnes. A cet effet, nous nous obligeons à vous assurer le moyen de visiter pendant le cours du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d'aliéner, exigée par la loi. En cas d'exercice du d</w:t>
      </w:r>
      <w:r>
        <w:rPr>
          <w:rFonts w:ascii="Lato" w:hAnsi="Lato" w:eastAsia="Tahoma"/>
          <w:sz w:val="16"/>
          <w:lang w:val="fr-FR"/>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Sequestr</w:t>
      </w:r>
      <w:r>
        <w:rPr>
          <w:rFonts w:ascii="Lato" w:hAnsi="Lato" w:eastAsia="Tahoma"/>
          <w:sz w:val="16"/>
          <w:lang w:val="fr-FR"/>
        </w:rPr>
        <w:t xml:space="preserve">e: En vue de garantir la bonne exécution des présentes et de leur suite, les fonds ou valeurs qu'il est d'usage de faire verser par l'acquéreur seront détenus par tout séquestre habilité à cet effet (notaire ou agence titulaire d'une garantie financière).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w:t>
      </w:r>
      <w:r>
        <w:rPr>
          <w:rFonts w:ascii="Lato" w:hAnsi="Lato" w:eastAsia="Tahoma"/>
          <w:sz w:val="16"/>
          <w:lang w:val="fr-FR"/>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technique: le vendeur fera effectuer sans délai l'ensemble des constats, états et diagnostics obligatoires. Ce dossier devra être annexé à l'engagement des parties.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adjointre ou substituer tout professionnel de votre choix pour l'accomplissement des présentes.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expressement le mandataire à demander au syndic en son nom et à ses frais, co</w:t>
      </w:r>
      <w:r>
        <w:rPr>
          <w:rFonts w:ascii="Lato" w:hAnsi="Lato" w:eastAsia="Tahoma"/>
          <w:sz w:val="16"/>
          <w:lang w:val="fr-FR"/>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Lato" w:hAnsi="Lato" w:eastAsia="Tahoma"/>
          <w:sz w:val="16"/>
          <w:lang w:val="fr-FR"/>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w:t>
      </w:r>
      <w:r>
        <w:rPr>
          <w:rFonts w:ascii="Lato" w:hAnsi="Lato" w:eastAsia="Tahoma"/>
          <w:sz w:val="16"/>
          <w:lang w:val="fr-FR"/>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En cas de vente,pendant la durée du présent mandat et 2 ans après son expiration, nous devrons obtenir de notre acquéreur l'assurance écrite que les biens ne lui ont pas été présentées par vous.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vendons après l'expiration de ce m</w:t>
      </w:r>
      <w:r>
        <w:rPr>
          <w:rFonts w:ascii="Lato" w:hAnsi="Lato" w:eastAsia="Tahoma"/>
          <w:sz w:val="16"/>
          <w:lang w:val="fr-FR"/>
        </w:rPr>
        <w:t xml:space="preserve">andat, comme nous en gardons le droit, à toute personne non présentée par vous, nous nous obligeons à vous avertir immédiatement par lettre recommandée, en vous précisant les coordonnées des acquéreurs ainsi que le prix de vente final, ce pendant deux ans.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VENTE SANS LE CONCOURS DE L'AGENCE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-Dans le cas de vente sans votre concours,  nous nous engageons à vous en informer immédiatement par lettre recommandée avec accusé de</w:t>
      </w:r>
      <w:r>
        <w:rPr>
          <w:rFonts w:ascii="Lato" w:hAnsi="Lato" w:eastAsia="Tahoma"/>
          <w:sz w:val="16"/>
          <w:lang w:val="fr-FR"/>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sz w:val="16"/>
          <w:u w:val="single"/>
          <w:lang w:val="fr-FR"/>
        </w:rPr>
        <w:t xml:space="preserve">CLAUSE PENALE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cas de non respect de la clause ci-dessu</w:t>
      </w:r>
      <w:r>
        <w:rPr>
          <w:rFonts w:ascii="Lato" w:hAnsi="Lato" w:eastAsia="Tahoma"/>
          <w:sz w:val="16"/>
          <w:lang w:val="fr-FR"/>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Lato" w:hAnsi="Lato" w:eastAsia="Tahoma"/>
          <w:sz w:val="16"/>
          <w:lang w:val="fr-FR"/>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lang w:val="fr-FR"/>
        </w:rPr>
        <w:t xml:space="preserve">Article 78 du décret du 20 Juillet 1972 : Passé u</w:t>
      </w:r>
      <w:r>
        <w:rPr>
          <w:rFonts w:ascii="Lato" w:hAnsi="Lato" w:eastAsia="Tahoma"/>
          <w:sz w:val="16"/>
          <w:lang w:val="fr-FR"/>
        </w:rPr>
        <w:t xml:space="preserve">n délai de trois mois à compter de sa signature, le mandat contenant une telle clause peut être dénoncé à tout moment par chacune des parties, à charge pour celle qui entend y mettre fin d'en aviser l'autre partie quinze jours au moins à l'avance par LRAR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INFORMATIQUE, LIBERTE, RGPD</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 nom, adresse, email et postale)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reconnaît avoir pris connaissance et accepter la dite politique.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09"/>
        <w:rPr>
          <w:rFonts w:ascii="Lato" w:hAnsi="Lato" w:eastAsia="Tahoma"/>
          <w:sz w:val="16"/>
          <w:lang w:val="fr-FR"/>
        </w:rPr>
      </w:pPr>
      <w:r>
        <w:rPr>
          <w:rFonts w:ascii="Lato" w:hAnsi="Lato" w:eastAsia="Tahoma"/>
          <w:sz w:val="16"/>
          <w:lang w:val="fr-FR"/>
        </w:rPr>
      </w:r>
      <w:r/>
    </w:p>
    <w:p>
      <w:pPr>
        <w:pStyle w:val="709"/>
        <w:rPr>
          <w:rFonts w:ascii="Lato" w:hAnsi="Lato" w:eastAsia="Tahoma"/>
          <w:sz w:val="16"/>
          <w:lang w:val="fr-FR"/>
        </w:rPr>
      </w:pPr>
      <w:r>
        <w:rPr>
          <w:rFonts w:ascii="Lato" w:hAnsi="Lato" w:eastAsia="Tahoma"/>
          <w:sz w:val="16"/>
          <w:lang w:val="fr-FR"/>
        </w:rPr>
      </w:r>
      <w:r/>
    </w:p>
    <w:p>
      <w:pPr>
        <w:pStyle w:val="709"/>
        <w:rPr>
          <w:rFonts w:ascii="Lato" w:hAnsi="Lato" w:eastAsia="Tahoma"/>
          <w:sz w:val="16"/>
        </w:rPr>
      </w:pPr>
      <w:r>
        <w:rPr>
          <w:rFonts w:ascii="Lato" w:hAnsi="Lato" w:eastAsia="Tahoma"/>
          <w:sz w:val="16"/>
        </w:rPr>
        <w:t xml:space="preserve">Informations communiquées le : .....................13 juin 2024.........................</w:t>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p>
    <w:sectPr>
      <w:footerReference w:type="default" r:id="rId11"/>
      <w:footnotePr/>
      <w:endnotePr/>
      <w:type w:val="nextPage"/>
      <w:pgSz w:w="11903" w:h="16837" w:orient="portrait"/>
      <w:pgMar w:top="284" w:right="567" w:bottom="284" w:left="680" w:header="567"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ato">
    <w:panose1 w:val="020F0502020204030203"/>
  </w:font>
  <w:font w:name="Wingdings">
    <w:panose1 w:val="05010000000000000000"/>
  </w:font>
  <w:font w:name="Courier New">
    <w:panose1 w:val="02070309020205020404"/>
  </w:font>
  <w:font w:name="Tahoma">
    <w:panose1 w:val="020B0604030504040204"/>
  </w:font>
  <w:font w:name="Symbol">
    <w:panose1 w:val="05010000000000000000"/>
  </w:font>
  <w:font w:name="Gill Sans MT Condensed">
    <w:panose1 w:val="020B060602020203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95684938"/>
      <w:docPartObj>
        <w:docPartGallery w:val="Page Numbers (Bottom of Page)"/>
        <w:docPartUnique w:val="true"/>
      </w:docPartObj>
      <w:rPr/>
    </w:sdtPr>
    <w:sdtContent>
      <w:sdt>
        <w:sdtPr>
          <w15:appearance w15:val="boundingBox"/>
          <w:id w:val="565050477"/>
          <w:docPartObj>
            <w:docPartGallery w:val="Page Numbers (Top of Page)"/>
            <w:docPartUnique w:val="true"/>
          </w:docPartObj>
          <w:rPr/>
        </w:sdtPr>
        <w:sdtContent>
          <w:p>
            <w:pPr>
              <w:pStyle w:val="721"/>
              <w:jc w:val="right"/>
            </w:pPr>
            <w:r/>
            <w:r/>
          </w:p>
          <w:p>
            <w:pPr>
              <w:pStyle w:val="721"/>
              <w:jc w:val="right"/>
              <w:rPr>
                <w:rFonts w:ascii="Lato" w:hAnsi="Lato"/>
              </w:rPr>
            </w:pPr>
            <w:r>
              <w:rPr>
                <w:rFonts w:ascii="Lato" w:hAnsi="Lato"/>
              </w:rPr>
              <w:t xml:space="preserve">Pa</w:t>
            </w:r>
            <w:r>
              <w:rPr>
                <w:rFonts w:ascii="Lato" w:hAnsi="Lato"/>
              </w:rPr>
              <w:t xml:space="preserve">ge </w:t>
            </w:r>
            <w:r>
              <w:rPr>
                <w:rFonts w:ascii="Lato" w:hAnsi="Lato"/>
                <w:b/>
              </w:rPr>
              <w:fldChar w:fldCharType="begin"/>
            </w:r>
            <w:r>
              <w:rPr>
                <w:rFonts w:ascii="Lato" w:hAnsi="Lato"/>
                <w:b/>
              </w:rPr>
              <w:instrText xml:space="preserve"> PAGE </w:instrText>
            </w:r>
            <w:r>
              <w:rPr>
                <w:rFonts w:ascii="Lato" w:hAnsi="Lato"/>
                <w:b/>
              </w:rPr>
              <w:fldChar w:fldCharType="separate"/>
            </w:r>
            <w:r>
              <w:rPr>
                <w:rFonts w:ascii="Lato" w:hAnsi="Lato"/>
                <w:b/>
              </w:rPr>
              <w:t xml:space="preserve">2</w:t>
            </w:r>
            <w:r>
              <w:rPr>
                <w:rFonts w:ascii="Lato" w:hAnsi="Lato"/>
                <w:b/>
              </w:rPr>
              <w:fldChar w:fldCharType="end"/>
            </w:r>
            <w:r>
              <w:rPr>
                <w:rFonts w:ascii="Lato" w:hAnsi="Lato"/>
              </w:rPr>
              <w:t xml:space="preserve"> de 3</w:t>
            </w:r>
            <w:r/>
          </w:p>
        </w:sdtContent>
      </w:sdt>
    </w:sdtContent>
  </w:sdt>
  <w:p>
    <w:pPr>
      <w:pStyle w:val="709"/>
      <w:jc w:val="center"/>
      <w:rPr>
        <w:sz w:val="16"/>
      </w:rPr>
    </w:pPr>
    <w:r>
      <w:rPr>
        <w:sz w:val="16"/>
      </w:r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21"/>
      <w:jc w:val="right"/>
      <w:rPr>
        <w:rFonts w:ascii="Lato" w:hAnsi="Lato"/>
      </w:rPr>
    </w:pPr>
    <w:r>
      <w:rPr>
        <w:rFonts w:ascii="Lato" w:hAnsi="Lato"/>
      </w:rPr>
    </w:r>
    <w:r/>
  </w:p>
  <w:p>
    <w:pPr>
      <w:pStyle w:val="709"/>
      <w:jc w:val="center"/>
      <w:rPr>
        <w:sz w:val="16"/>
      </w:rPr>
    </w:pPr>
    <w:r>
      <w:rPr>
        <w:sz w:val="16"/>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09"/>
      <w:jc w:val="center"/>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715"/>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706"/>
    <w:link w:val="702"/>
    <w:uiPriority w:val="9"/>
    <w:rPr>
      <w:rFonts w:ascii="Arial" w:hAnsi="Arial" w:eastAsia="Arial" w:cs="Arial"/>
      <w:sz w:val="40"/>
      <w:szCs w:val="40"/>
    </w:rPr>
  </w:style>
  <w:style w:type="paragraph" w:styleId="14">
    <w:name w:val="Heading 2"/>
    <w:basedOn w:val="701"/>
    <w:next w:val="701"/>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706"/>
    <w:link w:val="14"/>
    <w:uiPriority w:val="9"/>
    <w:rPr>
      <w:rFonts w:ascii="Arial" w:hAnsi="Arial" w:eastAsia="Arial" w:cs="Arial"/>
      <w:sz w:val="34"/>
    </w:rPr>
  </w:style>
  <w:style w:type="character" w:styleId="17">
    <w:name w:val="Heading 3 Char"/>
    <w:basedOn w:val="706"/>
    <w:link w:val="703"/>
    <w:uiPriority w:val="9"/>
    <w:rPr>
      <w:rFonts w:ascii="Arial" w:hAnsi="Arial" w:eastAsia="Arial" w:cs="Arial"/>
      <w:sz w:val="30"/>
      <w:szCs w:val="30"/>
    </w:rPr>
  </w:style>
  <w:style w:type="paragraph" w:styleId="18">
    <w:name w:val="Heading 4"/>
    <w:basedOn w:val="701"/>
    <w:next w:val="701"/>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706"/>
    <w:link w:val="18"/>
    <w:uiPriority w:val="9"/>
    <w:rPr>
      <w:rFonts w:ascii="Arial" w:hAnsi="Arial" w:eastAsia="Arial" w:cs="Arial"/>
      <w:b/>
      <w:bCs/>
      <w:sz w:val="26"/>
      <w:szCs w:val="26"/>
    </w:rPr>
  </w:style>
  <w:style w:type="character" w:styleId="21">
    <w:name w:val="Heading 5 Char"/>
    <w:basedOn w:val="706"/>
    <w:link w:val="704"/>
    <w:uiPriority w:val="9"/>
    <w:rPr>
      <w:rFonts w:ascii="Arial" w:hAnsi="Arial" w:eastAsia="Arial" w:cs="Arial"/>
      <w:b/>
      <w:bCs/>
      <w:sz w:val="24"/>
      <w:szCs w:val="24"/>
    </w:rPr>
  </w:style>
  <w:style w:type="character" w:styleId="23">
    <w:name w:val="Heading 6 Char"/>
    <w:basedOn w:val="706"/>
    <w:link w:val="705"/>
    <w:uiPriority w:val="9"/>
    <w:rPr>
      <w:rFonts w:ascii="Arial" w:hAnsi="Arial" w:eastAsia="Arial" w:cs="Arial"/>
      <w:b/>
      <w:bCs/>
      <w:sz w:val="22"/>
      <w:szCs w:val="22"/>
    </w:rPr>
  </w:style>
  <w:style w:type="paragraph" w:styleId="24">
    <w:name w:val="Heading 7"/>
    <w:basedOn w:val="701"/>
    <w:next w:val="701"/>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06"/>
    <w:link w:val="24"/>
    <w:uiPriority w:val="9"/>
    <w:rPr>
      <w:rFonts w:ascii="Arial" w:hAnsi="Arial" w:eastAsia="Arial" w:cs="Arial"/>
      <w:b/>
      <w:bCs/>
      <w:i/>
      <w:iCs/>
      <w:sz w:val="22"/>
      <w:szCs w:val="22"/>
    </w:rPr>
  </w:style>
  <w:style w:type="paragraph" w:styleId="26">
    <w:name w:val="Heading 8"/>
    <w:basedOn w:val="701"/>
    <w:next w:val="701"/>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06"/>
    <w:link w:val="26"/>
    <w:uiPriority w:val="9"/>
    <w:rPr>
      <w:rFonts w:ascii="Arial" w:hAnsi="Arial" w:eastAsia="Arial" w:cs="Arial"/>
      <w:i/>
      <w:iCs/>
      <w:sz w:val="22"/>
      <w:szCs w:val="22"/>
    </w:rPr>
  </w:style>
  <w:style w:type="paragraph" w:styleId="28">
    <w:name w:val="Heading 9"/>
    <w:basedOn w:val="701"/>
    <w:next w:val="701"/>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06"/>
    <w:link w:val="28"/>
    <w:uiPriority w:val="9"/>
    <w:rPr>
      <w:rFonts w:ascii="Arial" w:hAnsi="Arial" w:eastAsia="Arial" w:cs="Arial"/>
      <w:i/>
      <w:iCs/>
      <w:sz w:val="21"/>
      <w:szCs w:val="21"/>
    </w:rPr>
  </w:style>
  <w:style w:type="paragraph" w:styleId="30">
    <w:name w:val="List Paragraph"/>
    <w:basedOn w:val="701"/>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701"/>
    <w:next w:val="701"/>
    <w:link w:val="34"/>
    <w:uiPriority w:val="10"/>
    <w:qFormat/>
    <w:pPr>
      <w:contextualSpacing/>
      <w:spacing w:before="300" w:after="200"/>
    </w:pPr>
    <w:rPr>
      <w:sz w:val="48"/>
      <w:szCs w:val="48"/>
    </w:rPr>
  </w:style>
  <w:style w:type="character" w:styleId="34">
    <w:name w:val="Title Char"/>
    <w:basedOn w:val="706"/>
    <w:link w:val="33"/>
    <w:uiPriority w:val="10"/>
    <w:rPr>
      <w:sz w:val="48"/>
      <w:szCs w:val="48"/>
    </w:rPr>
  </w:style>
  <w:style w:type="paragraph" w:styleId="35">
    <w:name w:val="Subtitle"/>
    <w:basedOn w:val="701"/>
    <w:next w:val="701"/>
    <w:link w:val="36"/>
    <w:uiPriority w:val="11"/>
    <w:qFormat/>
    <w:pPr>
      <w:spacing w:before="200" w:after="200"/>
    </w:pPr>
    <w:rPr>
      <w:sz w:val="24"/>
      <w:szCs w:val="24"/>
    </w:rPr>
  </w:style>
  <w:style w:type="character" w:styleId="36">
    <w:name w:val="Subtitle Char"/>
    <w:basedOn w:val="706"/>
    <w:link w:val="35"/>
    <w:uiPriority w:val="11"/>
    <w:rPr>
      <w:sz w:val="24"/>
      <w:szCs w:val="24"/>
    </w:rPr>
  </w:style>
  <w:style w:type="paragraph" w:styleId="37">
    <w:name w:val="Quote"/>
    <w:basedOn w:val="701"/>
    <w:next w:val="701"/>
    <w:link w:val="38"/>
    <w:uiPriority w:val="29"/>
    <w:qFormat/>
    <w:pPr>
      <w:ind w:left="720" w:right="720"/>
    </w:pPr>
    <w:rPr>
      <w:i/>
    </w:rPr>
  </w:style>
  <w:style w:type="character" w:styleId="38">
    <w:name w:val="Quote Char"/>
    <w:link w:val="37"/>
    <w:uiPriority w:val="29"/>
    <w:rPr>
      <w:i/>
    </w:rPr>
  </w:style>
  <w:style w:type="paragraph" w:styleId="39">
    <w:name w:val="Intense Quote"/>
    <w:basedOn w:val="701"/>
    <w:next w:val="701"/>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5">
    <w:name w:val="Caption"/>
    <w:basedOn w:val="701"/>
    <w:next w:val="701"/>
    <w:uiPriority w:val="35"/>
    <w:semiHidden/>
    <w:unhideWhenUsed/>
    <w:qFormat/>
    <w:pPr>
      <w:spacing w:line="276" w:lineRule="auto"/>
    </w:pPr>
    <w:rPr>
      <w:b/>
      <w:bCs/>
      <w:color w:val="4f81bd" w:themeColor="accent1"/>
      <w:sz w:val="18"/>
      <w:szCs w:val="18"/>
    </w:rPr>
  </w:style>
  <w:style w:type="character" w:styleId="46">
    <w:name w:val="Caption Char"/>
    <w:basedOn w:val="45"/>
    <w:link w:val="721"/>
    <w:uiPriority w:val="99"/>
  </w:style>
  <w:style w:type="table" w:styleId="47">
    <w:name w:val="Table Grid"/>
    <w:basedOn w:val="707"/>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70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0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07"/>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0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0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0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07"/>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0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0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0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0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0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0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0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0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0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0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0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0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0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0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0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0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0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0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0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0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07"/>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07"/>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07"/>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07"/>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07"/>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07"/>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07"/>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07"/>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07"/>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0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07"/>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0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07"/>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07"/>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707"/>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07"/>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07"/>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07"/>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07"/>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07"/>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07"/>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07"/>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07"/>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07"/>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07"/>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07"/>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07"/>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07"/>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07"/>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07"/>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07"/>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07"/>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07"/>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07"/>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07"/>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0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07"/>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70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07"/>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0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07"/>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707"/>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0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07"/>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707"/>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07"/>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07"/>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07"/>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707"/>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07"/>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07"/>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07"/>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07"/>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07"/>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07"/>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07"/>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07"/>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07"/>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707"/>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07"/>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07"/>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07"/>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707"/>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07"/>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07"/>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707"/>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07"/>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07"/>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07"/>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707"/>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07"/>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07"/>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707"/>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07"/>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07"/>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07"/>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707"/>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07"/>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0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0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0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0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0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0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701"/>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06"/>
    <w:uiPriority w:val="99"/>
    <w:unhideWhenUsed/>
    <w:rPr>
      <w:vertAlign w:val="superscript"/>
    </w:rPr>
  </w:style>
  <w:style w:type="paragraph" w:styleId="177">
    <w:name w:val="endnote text"/>
    <w:basedOn w:val="701"/>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06"/>
    <w:uiPriority w:val="99"/>
    <w:semiHidden/>
    <w:unhideWhenUsed/>
    <w:rPr>
      <w:vertAlign w:val="superscript"/>
    </w:rPr>
  </w:style>
  <w:style w:type="paragraph" w:styleId="180">
    <w:name w:val="toc 1"/>
    <w:basedOn w:val="701"/>
    <w:next w:val="701"/>
    <w:uiPriority w:val="39"/>
    <w:unhideWhenUsed/>
    <w:pPr>
      <w:ind w:left="0" w:right="0" w:firstLine="0"/>
      <w:spacing w:after="57"/>
    </w:pPr>
  </w:style>
  <w:style w:type="paragraph" w:styleId="181">
    <w:name w:val="toc 2"/>
    <w:basedOn w:val="701"/>
    <w:next w:val="701"/>
    <w:uiPriority w:val="39"/>
    <w:unhideWhenUsed/>
    <w:pPr>
      <w:ind w:left="283" w:right="0" w:firstLine="0"/>
      <w:spacing w:after="57"/>
    </w:pPr>
  </w:style>
  <w:style w:type="paragraph" w:styleId="182">
    <w:name w:val="toc 3"/>
    <w:basedOn w:val="701"/>
    <w:next w:val="701"/>
    <w:uiPriority w:val="39"/>
    <w:unhideWhenUsed/>
    <w:pPr>
      <w:ind w:left="567" w:right="0" w:firstLine="0"/>
      <w:spacing w:after="57"/>
    </w:pPr>
  </w:style>
  <w:style w:type="paragraph" w:styleId="183">
    <w:name w:val="toc 4"/>
    <w:basedOn w:val="701"/>
    <w:next w:val="701"/>
    <w:uiPriority w:val="39"/>
    <w:unhideWhenUsed/>
    <w:pPr>
      <w:ind w:left="850" w:right="0" w:firstLine="0"/>
      <w:spacing w:after="57"/>
    </w:pPr>
  </w:style>
  <w:style w:type="paragraph" w:styleId="184">
    <w:name w:val="toc 5"/>
    <w:basedOn w:val="701"/>
    <w:next w:val="701"/>
    <w:uiPriority w:val="39"/>
    <w:unhideWhenUsed/>
    <w:pPr>
      <w:ind w:left="1134" w:right="0" w:firstLine="0"/>
      <w:spacing w:after="57"/>
    </w:pPr>
  </w:style>
  <w:style w:type="paragraph" w:styleId="185">
    <w:name w:val="toc 6"/>
    <w:basedOn w:val="701"/>
    <w:next w:val="701"/>
    <w:uiPriority w:val="39"/>
    <w:unhideWhenUsed/>
    <w:pPr>
      <w:ind w:left="1417" w:right="0" w:firstLine="0"/>
      <w:spacing w:after="57"/>
    </w:pPr>
  </w:style>
  <w:style w:type="paragraph" w:styleId="186">
    <w:name w:val="toc 7"/>
    <w:basedOn w:val="701"/>
    <w:next w:val="701"/>
    <w:uiPriority w:val="39"/>
    <w:unhideWhenUsed/>
    <w:pPr>
      <w:ind w:left="1701" w:right="0" w:firstLine="0"/>
      <w:spacing w:after="57"/>
    </w:pPr>
  </w:style>
  <w:style w:type="paragraph" w:styleId="187">
    <w:name w:val="toc 8"/>
    <w:basedOn w:val="701"/>
    <w:next w:val="701"/>
    <w:uiPriority w:val="39"/>
    <w:unhideWhenUsed/>
    <w:pPr>
      <w:ind w:left="1984" w:right="0" w:firstLine="0"/>
      <w:spacing w:after="57"/>
    </w:pPr>
  </w:style>
  <w:style w:type="paragraph" w:styleId="188">
    <w:name w:val="toc 9"/>
    <w:basedOn w:val="701"/>
    <w:next w:val="701"/>
    <w:uiPriority w:val="39"/>
    <w:unhideWhenUsed/>
    <w:pPr>
      <w:ind w:left="2268" w:right="0" w:firstLine="0"/>
      <w:spacing w:after="57"/>
    </w:pPr>
  </w:style>
  <w:style w:type="paragraph" w:styleId="189">
    <w:name w:val="TOC Heading"/>
    <w:uiPriority w:val="39"/>
    <w:unhideWhenUsed/>
  </w:style>
  <w:style w:type="paragraph" w:styleId="190">
    <w:name w:val="table of figures"/>
    <w:basedOn w:val="701"/>
    <w:next w:val="701"/>
    <w:uiPriority w:val="99"/>
    <w:unhideWhenUsed/>
    <w:pPr>
      <w:spacing w:after="0" w:afterAutospacing="0"/>
    </w:pPr>
  </w:style>
  <w:style w:type="paragraph" w:styleId="701" w:default="1">
    <w:name w:val="Normal"/>
    <w:qFormat/>
    <w:pPr>
      <w:spacing w:after="0" w:line="240" w:lineRule="auto"/>
    </w:pPr>
    <w:rPr>
      <w:rFonts w:hAnsi="Arial" w:eastAsia="Arial"/>
      <w:sz w:val="20"/>
    </w:rPr>
  </w:style>
  <w:style w:type="paragraph" w:styleId="702">
    <w:name w:val="Heading 1"/>
    <w:basedOn w:val="701"/>
    <w:next w:val="701"/>
    <w:qFormat/>
    <w:pPr>
      <w:keepNext/>
      <w:outlineLvl w:val="0"/>
    </w:pPr>
    <w:rPr>
      <w:rFonts w:ascii="Times New Roman" w:hAnsi="Times New Roman" w:eastAsia="Times New Roman"/>
      <w:sz w:val="36"/>
    </w:rPr>
  </w:style>
  <w:style w:type="paragraph" w:styleId="703">
    <w:name w:val="Heading 3"/>
    <w:basedOn w:val="701"/>
    <w:next w:val="701"/>
    <w:qFormat/>
    <w:pPr>
      <w:keepNext/>
      <w:outlineLvl w:val="2"/>
    </w:pPr>
    <w:rPr>
      <w:rFonts w:ascii="Gill Sans MT Condensed" w:hAnsi="Gill Sans MT Condensed" w:eastAsia="Gill Sans MT Condensed"/>
      <w:b/>
      <w:sz w:val="24"/>
    </w:rPr>
  </w:style>
  <w:style w:type="paragraph" w:styleId="704">
    <w:name w:val="Heading 5"/>
    <w:basedOn w:val="701"/>
    <w:next w:val="701"/>
    <w:qFormat/>
    <w:pPr>
      <w:keepNext/>
      <w:tabs>
        <w:tab w:val="left" w:pos="5103" w:leader="none"/>
      </w:tabs>
      <w:pBdr>
        <w:bottom w:val="single" w:color="auto" w:sz="32" w:space="1"/>
      </w:pBdr>
      <w:outlineLvl w:val="4"/>
    </w:pPr>
    <w:rPr>
      <w:rFonts w:ascii="Gill Sans MT Condensed" w:hAnsi="Gill Sans MT Condensed" w:eastAsia="Gill Sans MT Condensed"/>
      <w:b/>
      <w:sz w:val="28"/>
    </w:rPr>
  </w:style>
  <w:style w:type="paragraph" w:styleId="705">
    <w:name w:val="Heading 6"/>
    <w:basedOn w:val="701"/>
    <w:next w:val="701"/>
    <w:qFormat/>
    <w:pPr>
      <w:jc w:val="center"/>
      <w:keepNext/>
      <w:outlineLvl w:val="5"/>
    </w:pPr>
    <w:rPr>
      <w:rFonts w:ascii="Times New Roman" w:hAnsi="Times New Roman" w:eastAsia="Times New Roman"/>
      <w:b/>
      <w:color w:val="333399"/>
      <w:sz w:val="24"/>
    </w:rPr>
  </w:style>
  <w:style w:type="character" w:styleId="706" w:default="1">
    <w:name w:val="Default Paragraph Font"/>
    <w:uiPriority w:val="1"/>
    <w:semiHidden/>
    <w:unhideWhenUsed/>
  </w:style>
  <w:style w:type="table" w:styleId="707" w:default="1">
    <w:name w:val="Normal Table"/>
    <w:uiPriority w:val="99"/>
    <w:semiHidden/>
    <w:unhideWhenUsed/>
    <w:tblPr>
      <w:tblInd w:w="0" w:type="dxa"/>
      <w:tblCellMar>
        <w:left w:w="108" w:type="dxa"/>
        <w:top w:w="0" w:type="dxa"/>
        <w:right w:w="108" w:type="dxa"/>
        <w:bottom w:w="0" w:type="dxa"/>
      </w:tblCellMar>
    </w:tblPr>
  </w:style>
  <w:style w:type="numbering" w:styleId="708" w:default="1">
    <w:name w:val="No List"/>
    <w:uiPriority w:val="99"/>
    <w:semiHidden/>
    <w:unhideWhenUsed/>
  </w:style>
  <w:style w:type="paragraph" w:styleId="709"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710">
    <w:name w:val="Body Text 2"/>
    <w:basedOn w:val="701"/>
    <w:qFormat/>
    <w:pPr>
      <w:jc w:val="center"/>
    </w:pPr>
    <w:rPr>
      <w:rFonts w:ascii="Gill Sans MT Condensed" w:hAnsi="Gill Sans MT Condensed" w:eastAsia="Gill Sans MT Condensed"/>
      <w:b/>
      <w:sz w:val="72"/>
    </w:rPr>
  </w:style>
  <w:style w:type="paragraph" w:styleId="711">
    <w:name w:val="Body Text"/>
    <w:basedOn w:val="701"/>
    <w:qFormat/>
    <w:pPr>
      <w:jc w:val="both"/>
    </w:pPr>
    <w:rPr>
      <w:rFonts w:ascii="Gill Sans MT Condensed" w:hAnsi="Gill Sans MT Condensed" w:eastAsia="Gill Sans MT Condensed"/>
      <w:sz w:val="24"/>
    </w:rPr>
  </w:style>
  <w:style w:type="paragraph" w:styleId="712" w:customStyle="1">
    <w:name w:val="Titre arial 14 pts gras"/>
    <w:basedOn w:val="701"/>
    <w:qFormat/>
    <w:rPr>
      <w:b/>
      <w:sz w:val="28"/>
    </w:rPr>
  </w:style>
  <w:style w:type="paragraph" w:styleId="713" w:customStyle="1">
    <w:name w:val="Détail"/>
    <w:basedOn w:val="701"/>
    <w:qFormat/>
  </w:style>
  <w:style w:type="paragraph" w:styleId="714" w:customStyle="1">
    <w:name w:val="Type de détail"/>
    <w:basedOn w:val="701"/>
    <w:next w:val="713"/>
    <w:qFormat/>
    <w:rPr>
      <w:b/>
      <w:u w:val="single"/>
    </w:rPr>
  </w:style>
  <w:style w:type="paragraph" w:styleId="715" w:customStyle="1">
    <w:name w:val="Enumeration arial 10 pts"/>
    <w:basedOn w:val="701"/>
    <w:qFormat/>
    <w:pPr>
      <w:numPr>
        <w:numId w:val="1"/>
      </w:numPr>
    </w:pPr>
  </w:style>
  <w:style w:type="paragraph" w:styleId="716" w:customStyle="1">
    <w:name w:val="align droite 2cm"/>
    <w:basedOn w:val="701"/>
    <w:qFormat/>
  </w:style>
  <w:style w:type="paragraph" w:styleId="717" w:customStyle="1">
    <w:name w:val="Adresse"/>
    <w:basedOn w:val="701"/>
    <w:qFormat/>
    <w:pPr>
      <w:ind w:left="5103"/>
    </w:pPr>
  </w:style>
  <w:style w:type="paragraph" w:styleId="718" w:customStyle="1">
    <w:name w:val="BODY"/>
    <w:basedOn w:val="709"/>
    <w:qFormat/>
    <w:pPr>
      <w:spacing w:line="0" w:lineRule="auto"/>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style>
  <w:style w:type="paragraph" w:styleId="719">
    <w:name w:val="Header"/>
    <w:basedOn w:val="701"/>
    <w:link w:val="720"/>
    <w:pPr>
      <w:tabs>
        <w:tab w:val="center" w:pos="4536" w:leader="none"/>
        <w:tab w:val="right" w:pos="9072" w:leader="none"/>
      </w:tabs>
    </w:pPr>
  </w:style>
  <w:style w:type="character" w:styleId="720" w:customStyle="1">
    <w:name w:val="Header Char"/>
    <w:basedOn w:val="706"/>
    <w:link w:val="719"/>
    <w:rPr>
      <w:rFonts w:hAnsi="Arial" w:eastAsia="Arial"/>
      <w:sz w:val="20"/>
    </w:rPr>
  </w:style>
  <w:style w:type="paragraph" w:styleId="721">
    <w:name w:val="Footer"/>
    <w:basedOn w:val="701"/>
    <w:link w:val="722"/>
    <w:uiPriority w:val="99"/>
    <w:pPr>
      <w:tabs>
        <w:tab w:val="center" w:pos="4536" w:leader="none"/>
        <w:tab w:val="right" w:pos="9072" w:leader="none"/>
      </w:tabs>
    </w:pPr>
  </w:style>
  <w:style w:type="character" w:styleId="722" w:customStyle="1">
    <w:name w:val="Footer Char"/>
    <w:basedOn w:val="706"/>
    <w:link w:val="721"/>
    <w:uiPriority w:val="99"/>
    <w:rPr>
      <w:rFonts w:hAnsi="Arial" w:eastAsia="Arial"/>
      <w:sz w:val="20"/>
    </w:rPr>
  </w:style>
  <w:style w:type="character" w:styleId="723">
    <w:name w:val="Default Paragraph Font PHPDOCX"/>
    <w:uiPriority w:val="1"/>
    <w:semiHidden/>
    <w:unhideWhenUsed/>
  </w:style>
  <w:style w:type="paragraph" w:styleId="724">
    <w:name w:val="List Paragraph PHPDOCX"/>
    <w:basedOn w:val="701"/>
    <w:uiPriority w:val="34"/>
    <w:qFormat/>
    <w:pPr>
      <w:contextualSpacing/>
      <w:ind w:left="720"/>
    </w:pPr>
  </w:style>
  <w:style w:type="paragraph" w:styleId="725">
    <w:name w:val="Title PHPDOCX"/>
    <w:basedOn w:val="701"/>
    <w:next w:val="701"/>
    <w:link w:val="726"/>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726" w:customStyle="1">
    <w:name w:val="Title Car PHPDOCX"/>
    <w:basedOn w:val="723"/>
    <w:link w:val="725"/>
    <w:uiPriority w:val="10"/>
    <w:rPr>
      <w:rFonts w:asciiTheme="majorHAnsi" w:hAnsiTheme="majorHAnsi" w:eastAsiaTheme="majorEastAsia" w:cstheme="majorBidi"/>
      <w:color w:val="17365d" w:themeColor="text2" w:themeShade="BF"/>
      <w:spacing w:val="5"/>
      <w:sz w:val="52"/>
      <w:szCs w:val="52"/>
    </w:rPr>
  </w:style>
  <w:style w:type="paragraph" w:styleId="727">
    <w:name w:val="Subtitle PHPDOCX"/>
    <w:basedOn w:val="701"/>
    <w:next w:val="701"/>
    <w:link w:val="728"/>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728" w:customStyle="1">
    <w:name w:val="Subtitle Car PHPDOCX"/>
    <w:basedOn w:val="723"/>
    <w:link w:val="727"/>
    <w:uiPriority w:val="11"/>
    <w:rPr>
      <w:rFonts w:asciiTheme="majorHAnsi" w:hAnsiTheme="majorHAnsi" w:eastAsiaTheme="majorEastAsia" w:cstheme="majorBidi"/>
      <w:i/>
      <w:iCs/>
      <w:color w:val="4f81bd" w:themeColor="accent1"/>
      <w:spacing w:val="15"/>
      <w:sz w:val="24"/>
      <w:szCs w:val="24"/>
    </w:rPr>
  </w:style>
  <w:style w:type="table" w:styleId="729">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730">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731">
    <w:name w:val="annotation reference PHPDOCX"/>
    <w:basedOn w:val="723"/>
    <w:uiPriority w:val="99"/>
    <w:semiHidden/>
    <w:unhideWhenUsed/>
    <w:rPr>
      <w:sz w:val="16"/>
      <w:szCs w:val="16"/>
    </w:rPr>
  </w:style>
  <w:style w:type="paragraph" w:styleId="732">
    <w:name w:val="annotation text PHPDOCX"/>
    <w:basedOn w:val="701"/>
    <w:link w:val="733"/>
    <w:uiPriority w:val="99"/>
    <w:semiHidden/>
    <w:unhideWhenUsed/>
    <w:pPr>
      <w:spacing w:line="240" w:lineRule="auto"/>
    </w:pPr>
    <w:rPr>
      <w:sz w:val="20"/>
      <w:szCs w:val="20"/>
    </w:rPr>
  </w:style>
  <w:style w:type="character" w:styleId="733" w:customStyle="1">
    <w:name w:val="Comment Text Char PHPDOCX"/>
    <w:basedOn w:val="723"/>
    <w:link w:val="732"/>
    <w:uiPriority w:val="99"/>
    <w:semiHidden/>
    <w:rPr>
      <w:sz w:val="20"/>
      <w:szCs w:val="20"/>
    </w:rPr>
  </w:style>
  <w:style w:type="paragraph" w:styleId="734">
    <w:name w:val="annotation subject PHPDOCX"/>
    <w:basedOn w:val="732"/>
    <w:next w:val="732"/>
    <w:link w:val="735"/>
    <w:uiPriority w:val="99"/>
    <w:semiHidden/>
    <w:unhideWhenUsed/>
    <w:rPr>
      <w:b/>
      <w:bCs/>
    </w:rPr>
  </w:style>
  <w:style w:type="character" w:styleId="735" w:customStyle="1">
    <w:name w:val="Comment Subject Char PHPDOCX"/>
    <w:basedOn w:val="733"/>
    <w:link w:val="734"/>
    <w:uiPriority w:val="99"/>
    <w:semiHidden/>
    <w:rPr>
      <w:b/>
      <w:bCs/>
      <w:sz w:val="20"/>
      <w:szCs w:val="20"/>
    </w:rPr>
  </w:style>
  <w:style w:type="paragraph" w:styleId="736">
    <w:name w:val="Balloon Text PHPDOCX"/>
    <w:basedOn w:val="701"/>
    <w:link w:val="737"/>
    <w:uiPriority w:val="99"/>
    <w:semiHidden/>
    <w:unhideWhenUsed/>
    <w:pPr>
      <w:spacing w:after="0" w:line="240" w:lineRule="auto"/>
    </w:pPr>
    <w:rPr>
      <w:rFonts w:ascii="Tahoma" w:hAnsi="Tahoma" w:cs="Tahoma"/>
      <w:sz w:val="16"/>
      <w:szCs w:val="16"/>
    </w:rPr>
  </w:style>
  <w:style w:type="character" w:styleId="737" w:customStyle="1">
    <w:name w:val="Balloon Text Char PHPDOCX"/>
    <w:basedOn w:val="723"/>
    <w:link w:val="736"/>
    <w:uiPriority w:val="99"/>
    <w:semiHidden/>
    <w:rPr>
      <w:rFonts w:ascii="Tahoma" w:hAnsi="Tahoma" w:cs="Tahoma"/>
      <w:sz w:val="16"/>
      <w:szCs w:val="16"/>
    </w:rPr>
  </w:style>
  <w:style w:type="paragraph" w:styleId="738">
    <w:name w:val="footnote Text PHPDOCX"/>
    <w:basedOn w:val="701"/>
    <w:link w:val="739"/>
    <w:uiPriority w:val="99"/>
    <w:semiHidden/>
    <w:unhideWhenUsed/>
    <w:pPr>
      <w:spacing w:after="0" w:line="240" w:lineRule="auto"/>
    </w:pPr>
    <w:rPr>
      <w:sz w:val="20"/>
      <w:szCs w:val="20"/>
    </w:rPr>
  </w:style>
  <w:style w:type="character" w:styleId="739" w:customStyle="1">
    <w:name w:val="footnote Text Car PHPDOCX"/>
    <w:basedOn w:val="723"/>
    <w:link w:val="738"/>
    <w:uiPriority w:val="99"/>
    <w:semiHidden/>
    <w:rPr>
      <w:sz w:val="20"/>
      <w:szCs w:val="20"/>
    </w:rPr>
  </w:style>
  <w:style w:type="character" w:styleId="740">
    <w:name w:val="footnote Reference PHPDOCX"/>
    <w:basedOn w:val="723"/>
    <w:uiPriority w:val="99"/>
    <w:semiHidden/>
    <w:unhideWhenUsed/>
    <w:rPr>
      <w:vertAlign w:val="superscript"/>
    </w:rPr>
  </w:style>
  <w:style w:type="paragraph" w:styleId="741">
    <w:name w:val="endnote Text PHPDOCX"/>
    <w:basedOn w:val="701"/>
    <w:link w:val="742"/>
    <w:uiPriority w:val="99"/>
    <w:semiHidden/>
    <w:unhideWhenUsed/>
    <w:pPr>
      <w:spacing w:after="0" w:line="240" w:lineRule="auto"/>
    </w:pPr>
    <w:rPr>
      <w:sz w:val="20"/>
      <w:szCs w:val="20"/>
    </w:rPr>
  </w:style>
  <w:style w:type="character" w:styleId="742" w:customStyle="1">
    <w:name w:val="endnote Text Car PHPDOCX"/>
    <w:basedOn w:val="723"/>
    <w:link w:val="741"/>
    <w:uiPriority w:val="99"/>
    <w:semiHidden/>
    <w:rPr>
      <w:sz w:val="20"/>
      <w:szCs w:val="20"/>
    </w:rPr>
  </w:style>
  <w:style w:type="character" w:styleId="743">
    <w:name w:val="endnote Reference PHPDOCX"/>
    <w:basedOn w:val="723"/>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image" Target="media/image1.jpg"/><Relationship Id="rId13" Type="http://schemas.openxmlformats.org/officeDocument/2006/relationships/image" Target="media/image2.jpg"/><Relationship Id="rId14" Type="http://schemas.openxmlformats.org/officeDocument/2006/relationships/image" Target="media/image3.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Guillaume</dc:creator>
  <cp:lastModifiedBy>borneka</cp:lastModifiedBy>
  <cp:revision>8</cp:revision>
  <dcterms:created xsi:type="dcterms:W3CDTF">2024-01-03T11:28:00Z</dcterms:created>
  <dcterms:modified xsi:type="dcterms:W3CDTF">2024-06-13T08:57:44Z</dcterms:modified>
</cp:coreProperties>
</file>