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Périgord noir - Maison et Gite en parfait état sur 760m2 de terrain clos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Dans un village du Périgord Noir, entre SARLAT et SAINT CYPRIEN, découvrez ce bien en parfait état , celui-ci se compose :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double vasque - WC invités,</w:t>
                    <w:br/>
                    <w:t xml:space="preserve">au 1er étage : un pallier aménageable en bibliothèque, bureau ... donne accès à 2 grandes chambres de 14,80 et 11,50m2 , une salle d'eau avec WC</w:t>
                    <w:br/>
                    <w:t xml:space="preserve">un gite ou maison d'ami de 50 m2 environ en très bon état également composé d'une c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uisine équipée , une salle à manger, une salle d'eau avec WC, au 1er étage une chambre ,</w:t>
                    <w:br/>
                    <w:t xml:space="preserve">à l'extérieur vous trouvez un garage pour un véhicule, des petites dépendances pour stocker le matériel de jardin,</w:t>
                    <w:br/>
                    <w:t xml:space="preserve">le terrain de 760m2 est piscinable et entièrement cl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os - Présence d'une pompe de relevage</w:t>
                    <w:br/>
                    <w:t xml:space="preserve">la maison peut être vendue meublée - Présence des Bâtiments de France</w:t>
                    <w:br/>
                    <w:t xml:space="preserve">jolie vue sur le village</w:t>
                    <w:br/>
                    <w:t xml:space="preserve">Les informations sur les risques auxquels ce bien est exposé sont disponibles sur le site Géorisques www.georisques.gouv.fr</w:t>
                  </w:r>
                  <w:r/>
                  <w:r>
                    <w:rPr>
                      <w:rFonts w:ascii="Trebuchet MS" w:hAnsi="Trebuchet MS" w:eastAsia="Trebuchet MS"/>
                    </w:rPr>
                  </w:r>
                  <w:r/>
                  <w:r>
                    <w:rPr>
                      <w:rFonts w:ascii="Trebuchet MS" w:hAnsi="Trebuchet MS" w:eastAsia="Trebuchet MS"/>
                    </w:rPr>
                  </w:r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Réf.:LVT1371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296 800 €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3014p266718fab2742e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3014p266718fab2742e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b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210"/>
              <w:gridCol w:w="555"/>
              <w:gridCol w:w="15"/>
              <w:gridCol w:w="555"/>
              <w:gridCol w:w="30"/>
              <w:gridCol w:w="1035"/>
              <w:gridCol w:w="270"/>
              <w:gridCol w:w="95"/>
              <w:gridCol w:w="1210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ST CYPRIEN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67_87 impasse de la Source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24220 allas les mines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150m²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760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296 800 €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1371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16 800 €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8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MORY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SYLVAIN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4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06.51.77.96.54.</w:t>
                  </w:r>
                  <w:r/>
                </w:p>
              </w:tc>
            </w:tr>
            <w:tr>
              <w:trPr>
                <w:gridAfter w:val="3"/>
                <w:trHeight w:val="32"/>
              </w:trPr>
              <w:tc>
                <w:tcPr>
                  <w:gridSpan w:val="9"/>
                  <w:shd w:val="clear" w:color="auto" w:fill="auto"/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3"/>
              </w:trPr>
              <w:tc>
                <w:tcPr>
                  <w:gridSpan w:val="9"/>
                  <w:shd w:val="clear" w:color="auto" w:fill="auto"/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 - Campagne non isolée </w:t>
                    <w:br/>
                    <w:t xml:space="preserve">REZ DE JARDIN:</w:t>
                    <w:br/>
                    <w:t xml:space="preserve"> - Chambre en suite de 20m2</w:t>
                    <w:br/>
                    <w:t xml:space="preserve"> - Cuisine équipé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 ouverte sur le salon</w:t>
                    <w:br/>
                    <w:t xml:space="preserve"> - Garage un véhicule </w:t>
                    <w:br/>
                    <w:t xml:space="preserve"> - Hall d'entrée </w:t>
                    <w:br/>
                    <w:t xml:space="preserve"> - Pièce à vivre de 50m2 avec cuisine ouverte</w:t>
                    <w:br/>
                    <w:t xml:space="preserve"> - Salle d'eau double vasque</w:t>
                    <w:br/>
                    <w:t xml:space="preserve"> - WC indépendant</w:t>
                    <w:br/>
                    <w:t xml:space="preserve">1ER ÉTAGE:</w:t>
                    <w:br/>
                    <w:t xml:space="preserve"> - Palier 11,66 aménageable en bureau bibliothèque</w:t>
                    <w:br/>
                    <w:t xml:space="preserve"> - Salle d'eau avec douche - vasque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et WC</w:t>
                    <w:br/>
                    <w:t xml:space="preserve">DÉPENDANCES:</w:t>
                    <w:br/>
                    <w:t xml:space="preserve"> - Gîte d'environ 50m2 en parfait état - neuf avec une chambre au 1er étage</w:t>
                    <w:br/>
                    <w:t xml:space="preserve">DPE:</w:t>
                    <w:br/>
                    <w:t xml:space="preserve"> - Consommation énergétique (en énergie primaire): 178 KWHep/m²an D</w:t>
                    <w:br/>
                    <w:t xml:space="preserve"> - Emission de gaz à effet de serre: 7 Kgco2/m²an B</w:t>
                    <w:br/>
                    <w:t xml:space="preserve"> - Date de réalisation DPE 04/02/2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019</w:t>
                    <w:br/>
                    <w:t xml:space="preserve">CHAUFFAGE:</w:t>
                    <w:br/>
                    <w:t xml:space="preserve"> - Electrique + bois poêle à bois dans la pièce principale</w:t>
                    <w:br/>
                    <w:t xml:space="preserve">EQUIPEMENTS DE CUISINE:</w:t>
                    <w:br/>
                    <w:t xml:space="preserve"> - Congélateur </w:t>
                    <w:br/>
                    <w:t xml:space="preserve"> - Four </w:t>
                    <w:br/>
                    <w:t xml:space="preserve"> - Frigo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> - Plaque à induction </w:t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25 10 24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2024-10-25T13:25:29Z</dcterms:modified>
</cp:coreProperties>
</file>