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ANCIEN SECHOIR A TABAC A REHABILITE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RARE ! Au calme, idéalement situé,  non loin d'un château du Périgord noir, trouvez cet ancien séchoir à Tabac à réhabiliter en maison d'habitation, avec une emprise au sol de 112m2, et une hauteur sous toiture de 6,85 m environ,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Terrain attenant de 1800 m2, électricité présente, eau à proximité, le C.U est en cours, vous l'imaginez ce bien est à fort potentiel. Les informations sur les risques auquel ce bien est exposé sont disponibles sur le site Géorisques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Réf.:LVT1276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76 000 €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33550" cy="2857500"/>
                            <wp:effectExtent l="0" t="0" r="0" b="0"/>
                            <wp:docPr id="1" name="Picture 1" descr="https://gildc.activimmo.ovh/pic/182x300/lvt246501257p564ad55053dda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1257p564ad55053dda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36.5pt;height:225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784860" cy="716280"/>
                                  <wp:effectExtent l="0" t="0" r="0" b="0"/>
                                  <wp:docPr id="2" name="Picture 1" descr="https://files.activimmo.com/storage/etiquettes/photo/dpe/dpe-energie-n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ns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61.8pt;height:56.4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784860" cy="716280"/>
                                  <wp:effectExtent l="0" t="0" r="0" b="0"/>
                                  <wp:docPr id="3" name="Picture 1" descr="https://files.activimmo.com/storage/etiquettes/photo/dpe/ges-energie-n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ges-energie-ns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61.8pt;height:56.4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>
          <w:trHeight w:val="0"/>
        </w:trPr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626, Route de Gaussen 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24220 Saint Vincent de Cosse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112m²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Campagne non-isolée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Traditionnel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Aucun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1,800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76 000 €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1276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6 000 €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parcelles 000 A 744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Monsieur et Madame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BECHADE DEBUYGNE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 RUE DU FAY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44120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VERTOU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06.06.45.97.72.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</w:tr>
            <w:tr>
              <w:trPr>
                <w:trHeight w:val="432"/>
              </w:trPr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left="0" w:firstLine="0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DÉPENDANCES:</w:t>
                    <w:br/>
                    <w:t xml:space="preserve"> - Séchoir 112 m2</w:t>
                    <w:br/>
                    <w:br/>
                    <w:t xml:space="preserve">DPE:</w:t>
                    <w:br/>
                    <w:t xml:space="preserve"> - Bien non soumis au DPE </w:t>
                    <w:br/>
                    <w:br/>
                    <w:t xml:space="preserve">SERVICES:</w:t>
                    <w:br/>
                    <w:t xml:space="preserve"> - Ville la plus proche : Beynac</w:t>
                    <w:br/>
                    <w:t xml:space="preserve"> - Aéroport 1heure</w:t>
                    <w:br/>
                    <w:t xml:space="preserve"> - Autoroute 1 heure</w:t>
                    <w:br/>
                    <w:t xml:space="preserve"> - Plain-pied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22 04 2024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4</cp:revision>
  <dcterms:created xsi:type="dcterms:W3CDTF">2024-01-19T09:56:00Z</dcterms:created>
  <dcterms:modified xsi:type="dcterms:W3CDTF">2024-04-22T09:59:41Z</dcterms:modified>
</cp:coreProperties>
</file>