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885466d8291f112ba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498791p261961d7b3d2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498791p261961d7b3d2d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498791p361961d88ccbe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498791p361961d88ccbe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498791p461961d8564df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498791p461961d8564df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 AP2357 - Maison Ancienne - Région LE BUGUE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73 000 €*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68 000 €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564066d8291f112c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477466d8291f112c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366866d8291f112d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70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201566d8291f112d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320&amp;ges=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20&amp;ges=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8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03/05/2022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1800 €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2490 €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1" name="Picture 1" descr="https://qrcode.kaywa.com/img.php?s=3&amp;d=https%3A%2F%2Fwww.agence-du-perigord.com%2Findex.php%3Faction%3Ddetail%26nbien%3D6498791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498791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2024-09-04T09:32:32Z</dcterms:modified>
</cp:coreProperties>
</file>