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0063p1465f1d659096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063p1465f1d659096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0063p1665f1d65d0a59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63p1665f1d65d0a59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063p2966013ec47fe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63p2966013ec47fe3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063p2866013ec3150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63p2866013ec31504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063p3066013ec6eac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63p3066013ec6eac2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AP2625 –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COUX ET BIGAROQUE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Si l'expression "écrin de verdure" peut avoir un sens c'est ici dans ce tout petit hameau typique sur les hauteurs d'un village avec commer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ces de proximité. Un concentré de Périgord que chaque photo détaille : une ancienne ferme dont la restauration a permis de conserver l'authenticité de l'architecture, des matériaux. Cette propriété respire le Périgord. Près de 130 m2 d'une ambiance douce 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 confortable (double vitrage, chauffage électrique), trois chambres dont une dans un gîte attenant. Délicieusement périgourdin...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300 000 €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285 000 €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AP2625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26524" cy="1217054"/>
                            <wp:effectExtent l="0" t="0" r="0" b="0"/>
                            <wp:docPr id="6" name="Picture 1" descr="https://files.activimmo.com/storage/etiquettes/photo/dpe/dpe-energie-encour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ncour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6524" cy="121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04.5pt;height:95.8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26524" cy="1217054"/>
                            <wp:effectExtent l="0" t="0" r="0" b="0"/>
                            <wp:docPr id="7" name="Picture 1" descr="https://files.activimmo.com/storage/etiquettes/photo/dpe/dpe-energie-encour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ncour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6524" cy="121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04.5pt;height:95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2024-04-04T13:37:56Z</dcterms:modified>
</cp:coreProperties>
</file>