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6440" cy="1154601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476326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rcRect l="18585" t="21892" r="18872" b="2017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46440" cy="1154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8.1pt;height:90.9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545352" cy="3925398"/>
                            <wp:effectExtent l="0" t="0" r="0" b="0"/>
                            <wp:docPr id="2" name="Picture 1" descr="https://gildc.activimmo.ovh/pic/564x376/17gildc6501889p365a14e7b193d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6383492" name="https://gildc.activimmo.ovh/pic/564x376/17gildc6501889p365a14e7b193d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5545352" cy="3925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36.6pt;height:309.1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/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76712" cy="1251141"/>
                            <wp:effectExtent l="0" t="0" r="0" b="0"/>
                            <wp:docPr id="3" name="Picture 1" descr="https://gildc.activimmo.ovh/pic/180x120/17gildc6501889p165a14e78ef8c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2012154" name="https://gildc.activimmo.ovh/pic/180x120/17gildc6501889p165a14e78ef8c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876712" cy="1251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47.8pt;height:98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50745" cy="1233830"/>
                            <wp:effectExtent l="0" t="0" r="0" b="0"/>
                            <wp:docPr id="4" name="Picture 1" descr="https://gildc.activimmo.ovh/pic/180x120/17gildc6501889p965a14e869d5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0604231" name="https://gildc.activimmo.ovh/pic/180x120/17gildc6501889p965a14e869d54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850744" cy="1233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45.7pt;height:97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95206" cy="1263470"/>
                            <wp:effectExtent l="0" t="0" r="0" b="0"/>
                            <wp:docPr id="5" name="Picture 1" descr="https://gildc.activimmo.ovh/pic/180x120/17gildc6501889p265a14e7a0f1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5802835" name="https://gildc.activimmo.ovh/pic/180x120/17gildc6501889p265a14e7a0f1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895205" cy="126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49.2pt;height:99.5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AP2606 - Maison Contemporaine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jc w:val="both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Sur hauteur, exposée Sud, Périgordine sur la base d'une maison ancienne en pierres, restaurée et agrandie années 87. Proche d'un petit village avec que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lques commerces, 4 km des supermarchés et env 8 km de St Cyprien.</w:t>
                    <w:br/>
                    <w:t xml:space="preserve">Vous bénéficiez d'un large plain pied avec Entrée, Cuisine, Salle à manger/Salon d'env 54m2, wc, chambre et vaste Salle de bains. Buanderie/Chaufferie, Garage. A l'étage : Grande mezzanine d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esservant une chambre et un grand volume d'env 50m2 avec fenêtre facilement aménageable afin d'optimiser cette maison.</w:t>
                    <w:br/>
                    <w:t xml:space="preserve">A l'arrière, un bûcher en appentis. Le parc de la maison plat et bien arboré de 3560m2 exposé au Sud est clos de murets de pierres. Une b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oucle de randonnée passe non loin et permet de belles promenades. Très agréable l'été, la plage et la rivière Dordogne à env 1,5km.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8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8"/>
                      <w:szCs w:val="48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8"/>
                      <w:szCs w:val="48"/>
                    </w:rPr>
                    <w:t xml:space="preserve">300 000 €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8"/>
                      <w:szCs w:val="4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Trebuchet MS" w:hAnsi="Trebuchet MS" w:eastAsia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r>
                  <w:r>
                    <w:rPr>
                      <w:rFonts w:ascii="Trebuchet MS" w:hAnsi="Trebuchet MS" w:eastAsia="Trebuchet MS" w:cs="Trebuchet MS"/>
                      <w:color w:val="000000"/>
                      <w:sz w:val="20"/>
                    </w:rPr>
                    <w:t xml:space="preserve">Honoraires à charge de l'acquéreur</w:t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8"/>
                      <w:szCs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Trebuchet MS" w:hAnsi="Trebuchet MS" w:eastAsia="Trebuchet MS" w:cs="Trebuchet MS"/>
                      <w:color w:val="000000"/>
                      <w:sz w:val="20"/>
                    </w:rPr>
                  </w:r>
                  <w:r>
                    <w:rPr>
                      <w:rFonts w:ascii="Trebuchet MS" w:hAnsi="Trebuchet MS" w:eastAsia="Trebuchet MS" w:cs="Trebuchet MS"/>
                      <w:color w:val="000000"/>
                      <w:sz w:val="20"/>
                    </w:rPr>
                    <w:t xml:space="preserve">Prix honoraires exclu : 400 000 €</w:t>
                  </w:r>
                  <w:r/>
                  <w:r/>
                </w:p>
                <w:p>
                  <w:pPr>
                    <w:pStyle w:val="720"/>
                    <w:jc w:val="left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155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3,560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0" name="Picture 1" descr="https://files.activimmo.com/storage/etiquettes/photo/dpe/dpe-energie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1" name="Picture 1" descr="https://files.activimmo.com/storage/etiquettes/photo/dpe/dpe-ges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4"/>
                      <w:szCs w:val="14"/>
                    </w:rPr>
                  </w:r>
                  <w:r>
                    <w:rPr>
                      <w:rFonts w:ascii="Century Gothic" w:hAnsi="Century Gothic" w:eastAsia="Century Gothic"/>
                      <w:sz w:val="14"/>
                      <w:szCs w:val="14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Montant estimé des dépenses annuelles d’énergie pour un usage standard : entre 2 180€ et 2 980€ prix moyens des énergies indexés au 1er janvier 2021 abonnements compris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7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6"/>
    <w:uiPriority w:val="34"/>
    <w:qFormat/>
    <w:pPr>
      <w:contextualSpacing/>
      <w:ind w:left="720"/>
    </w:pPr>
  </w:style>
  <w:style w:type="paragraph" w:styleId="735">
    <w:name w:val="Title PHPDOCX"/>
    <w:basedOn w:val="716"/>
    <w:next w:val="716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6"/>
    <w:next w:val="716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6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6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6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6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22</cp:revision>
  <dcterms:created xsi:type="dcterms:W3CDTF">2023-03-29T11:33:00Z</dcterms:created>
  <dcterms:modified xsi:type="dcterms:W3CDTF">2024-02-05T15:46:30Z</dcterms:modified>
</cp:coreProperties>
</file>