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5668"/>
        <w:gridCol w:w="7710"/>
      </w:tblGrid>
      <w:tr>
        <w:trPr>
          <w:trHeight w:val="28"/>
        </w:trPr>
        <w:tc>
          <w:tcPr>
            <w:shd w:val="clear" w:color="auto" w:fill="ffffff"/>
            <w:tcW w:w="15668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6"/>
              </w:rPr>
              <w:t xml:space="preserve"> 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6"/>
              </w:rPr>
            </w:pPr>
            <w:r>
              <w:rPr>
                <w:rFonts w:ascii="Century Gothic" w:hAnsi="Century Gothic" w:eastAsia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0" cy="6096000"/>
                      <wp:effectExtent l="0" t="0" r="0" b="0"/>
                      <wp:docPr id="1" name="Picture 1" descr="https://gildc.activimmo.ovh/pic/960x640/17gildc6500048p20632319fdf30c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960x640/17gildc6500048p20632319fdf30c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0" cy="609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20.0pt;height:48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shd w:val="clear" w:color="auto" w:fill="ffffff"/>
            <w:tcBorders>
              <w:bottom w:val="single" w:color="808080" w:sz="14" w:space="0"/>
            </w:tcBorders>
            <w:tcW w:w="7710" w:type="dxa"/>
            <w:textDirection w:val="lrTb"/>
            <w:noWrap w:val="false"/>
          </w:tcPr>
          <w:p>
            <w:pPr>
              <w:pStyle w:val="738"/>
              <w:jc w:val="left"/>
              <w:rPr>
                <w:rFonts w:ascii="Century Gothic" w:hAnsi="Century Gothic" w:eastAsia="Century Gothic"/>
                <w:b/>
                <w:color w:val="990134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b/>
                <w:color w:val="990134"/>
                <w:shd w:val="clear" w:color="auto" w:fill="ffffff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ffffff"/>
            <w:tcW w:w="15668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</w:pPr>
            <w:r/>
            <w:r/>
          </w:p>
        </w:tc>
        <w:tc>
          <w:tcPr>
            <w:shd w:val="clear" w:color="auto" w:fill="ffffff"/>
            <w:tcW w:w="7710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color w:val="002060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b/>
                <w:color w:val="002060"/>
                <w:shd w:val="clear" w:color="auto" w:fill="ffffff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color w:val="002060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b/>
                <w:color w:val="002060"/>
                <w:sz w:val="48"/>
                <w:shd w:val="clear" w:color="auto" w:fill="ffffff"/>
              </w:rPr>
              <w:t xml:space="preserve">Région BELVE</w:t>
            </w:r>
            <w:r>
              <w:rPr>
                <w:rFonts w:ascii="Century Gothic" w:hAnsi="Century Gothic" w:eastAsia="Century Gothic"/>
                <w:b/>
                <w:color w:val="000000"/>
                <w:sz w:val="36"/>
                <w:shd w:val="clear" w:color="auto" w:fill="ffffff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48"/>
                <w:szCs w:val="48"/>
                <w:shd w:val="clear" w:color="auto" w:fill="ffffff"/>
              </w:rPr>
              <w:t xml:space="preserve">AP2436</w:t>
            </w:r>
            <w:r>
              <w:rPr>
                <w:rFonts w:ascii="Century Gothic" w:hAnsi="Century Gothic" w:eastAsia="Century Gothic"/>
                <w:b/>
                <w:color w:val="002060"/>
                <w:sz w:val="48"/>
                <w:szCs w:val="48"/>
                <w:shd w:val="clear" w:color="auto" w:fill="ffffff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color w:val="002060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b/>
                <w:color w:val="002060"/>
                <w:sz w:val="40"/>
                <w:shd w:val="clear" w:color="auto" w:fill="ffffff"/>
              </w:rPr>
              <w:t xml:space="preserve">Maison Ancienne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sz w:val="22"/>
                <w:shd w:val="clear" w:color="auto" w:fill="990134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bCs/>
                <w:color w:val="000000" w:themeColor="text1"/>
                <w:sz w:val="48"/>
                <w:szCs w:val="48"/>
                <w:highlight w:val="white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b/>
                <w:bCs/>
                <w:color w:val="000000" w:themeColor="text1"/>
                <w:sz w:val="48"/>
                <w:szCs w:val="48"/>
                <w:highlight w:val="white"/>
                <w:shd w:val="clear" w:color="auto" w:fill="990134"/>
              </w:rPr>
              <w:t xml:space="preserve">371 000 €</w:t>
            </w:r>
            <w:r>
              <w:rPr>
                <w:rFonts w:ascii="Century Gothic" w:hAnsi="Century Gothic" w:eastAsia="Century Gothic"/>
                <w:b/>
                <w:bCs/>
                <w:color w:val="000000" w:themeColor="text1"/>
                <w:sz w:val="48"/>
                <w:szCs w:val="48"/>
                <w:highlight w:val="white"/>
                <w:shd w:val="clear" w:color="auto" w:fill="990134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bCs/>
                <w:color w:val="000000" w:themeColor="text1"/>
                <w:sz w:val="48"/>
                <w:szCs w:val="48"/>
                <w:highlight w:val="white"/>
                <w:shd w:val="clear" w:color="auto" w:fill="990134"/>
              </w:rPr>
              <w:t xml:space="preserve">H.A.I *</w:t>
            </w:r>
            <w:r>
              <w:rPr>
                <w:b/>
                <w:bCs/>
                <w:color w:val="000000" w:themeColor="text1"/>
                <w:sz w:val="48"/>
                <w:szCs w:val="48"/>
                <w:highlight w:val="white"/>
              </w:rPr>
            </w:r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sz w:val="22"/>
                <w:shd w:val="clear" w:color="auto" w:fill="990134"/>
              </w:rPr>
            </w:r>
            <w:r/>
          </w:p>
          <w:p>
            <w:pPr>
              <w:pStyle w:val="738"/>
              <w:ind w:left="81"/>
              <w:rPr>
                <w:rFonts w:ascii="Century Gothic" w:hAnsi="Century Gothic" w:eastAsia="Century Gothic"/>
                <w:b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2"/>
                <w:lang w:val="fr-FR"/>
              </w:rPr>
              <w:t xml:space="preserve">* Prix honoraires exclus : 350 000 € </w:t>
            </w:r>
            <w:r/>
          </w:p>
          <w:p>
            <w:pPr>
              <w:pStyle w:val="738"/>
              <w:ind w:left="81"/>
              <w:rPr>
                <w:rFonts w:ascii="Century Gothic" w:hAnsi="Century Gothic" w:eastAsia="Century Gothic"/>
                <w:sz w:val="22"/>
                <w:shd w:val="clear" w:color="auto" w:fill="990134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2"/>
                <w:lang w:val="fr-FR"/>
              </w:rPr>
              <w:t xml:space="preserve">* Honoraires charge acquéreur : 0 TTC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shd w:val="clear" w:color="auto" w:fill="990134"/>
                <w:lang w:val="fr-FR"/>
              </w:rPr>
            </w:r>
            <w:r/>
          </w:p>
          <w:p>
            <w:pPr>
              <w:pStyle w:val="738"/>
              <w:jc w:val="both"/>
              <w:rPr>
                <w:rFonts w:ascii="Century Gothic" w:hAnsi="Century Gothic" w:eastAsia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 w:eastAsia="Century Gothic"/>
                <w:color w:val="000000"/>
                <w:sz w:val="24"/>
                <w:szCs w:val="24"/>
                <w:shd w:val="clear" w:color="auto" w:fill="ffffff"/>
              </w:rPr>
              <w:t xml:space="preserve">Le bout du monde n'est pas loin, mai</w:t>
            </w:r>
            <w:r>
              <w:rPr>
                <w:rFonts w:ascii="Century Gothic" w:hAnsi="Century Gothic" w:eastAsia="Century Gothic"/>
                <w:color w:val="000000"/>
                <w:sz w:val="24"/>
                <w:szCs w:val="24"/>
                <w:shd w:val="clear" w:color="auto" w:fill="ffffff"/>
              </w:rPr>
              <w:t xml:space="preserve">s le golf 18 trous est à porté de driver, un peu plus bas. Calme dans un cadre naturel préservé. Maison spacieuse, agréable à vivre, confortable et économique (DPE classé D). Quatre chambres, grande réception, petit salon. La piscine vient compléter cet en</w:t>
            </w:r>
            <w:r>
              <w:rPr>
                <w:rFonts w:ascii="Century Gothic" w:hAnsi="Century Gothic" w:eastAsia="Century Gothic"/>
                <w:color w:val="000000"/>
                <w:sz w:val="24"/>
                <w:szCs w:val="24"/>
                <w:shd w:val="clear" w:color="auto" w:fill="ffffff"/>
              </w:rPr>
              <w:t xml:space="preserve">semble authentique. En position dominante avec belle vue, ainsi que ces 4 000m2 de terrain Visite virtuelle disponible sur demande </w:t>
            </w:r>
            <w:r>
              <w:rPr>
                <w:rFonts w:ascii="Century Gothic" w:hAnsi="Century Gothic" w:eastAsia="Century Gothic"/>
                <w:highlight w:val="none"/>
                <w:shd w:val="clear" w:color="auto" w:fill="ffffff"/>
                <w:lang w:val="fr-FR"/>
              </w:rPr>
            </w:r>
          </w:p>
          <w:p>
            <w:pPr>
              <w:pStyle w:val="738"/>
              <w:rPr>
                <w:rFonts w:ascii="Century Gothic" w:hAnsi="Century Gothic" w:eastAsia="Century Gothic"/>
                <w:highlight w:val="none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color="auto" w:fill="ffffff"/>
              </w:rPr>
            </w:r>
            <w:r/>
          </w:p>
          <w:p>
            <w:pPr>
              <w:pStyle w:val="738"/>
              <w:rPr>
                <w:rFonts w:ascii="Century Gothic" w:hAnsi="Century Gothic" w:eastAsia="Century Gothic"/>
                <w:color w:val="000000"/>
                <w:sz w:val="14"/>
                <w:szCs w:val="14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highlight w:val="none"/>
                <w:shd w:val="clear" w:color="auto" w:fill="ffffff"/>
                <w:lang w:val="fr-FR"/>
              </w:rPr>
            </w:r>
            <w:r>
              <w:rPr>
                <w:rFonts w:ascii="Century Gothic" w:hAnsi="Century Gothic" w:eastAsia="Century Gothic"/>
                <w:color w:val="000000"/>
                <w:highlight w:val="none"/>
                <w:shd w:val="clear" w:color="auto" w:fill="ffffff"/>
                <w:lang w:val="fr-FR"/>
              </w:rPr>
            </w:r>
          </w:p>
          <w:p>
            <w:pPr>
              <w:pStyle w:val="738"/>
              <w:ind w:left="109" w:right="198"/>
              <w:jc w:val="center"/>
            </w:pPr>
            <w:r>
              <w:rPr>
                <w:highlight w:val="none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72200" cy="1172200"/>
                      <wp:effectExtent l="0" t="0" r="0" b="0"/>
                      <wp:docPr id="2" name="Picture 1" descr="https://dpe.files.activimmo.com/elan/ges/?ges=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833006" name="https://dpe.files.activimmo.com/elan/ges/?ges=0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172199" cy="11721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2.3pt;height:92.3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0150" cy="1200150"/>
                      <wp:effectExtent l="0" t="0" r="0" b="0"/>
                      <wp:docPr id="3" name="Picture 1" descr="https://dpe.files.activimmo.com/elan?dpe=235&amp;ges=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0497468" name="https://dpe.files.activimmo.com/elan?dpe=235&amp;ges=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94.5pt;height:94.5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38"/>
              <w:ind w:left="0" w:right="198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38"/>
              <w:ind w:left="0" w:right="198"/>
              <w:rPr>
                <w:rFonts w:ascii="Abyssinica SIL" w:hAnsi="Abyssinica SIL" w:cs="Abyssinica SIL"/>
                <w:sz w:val="20"/>
                <w:szCs w:val="20"/>
                <w:highlight w:val="none"/>
              </w:rPr>
            </w:pPr>
            <w:r>
              <w:rPr>
                <w:rFonts w:ascii="Abyssinica SIL" w:hAnsi="Abyssinica SIL" w:cs="Abyssinica SIL"/>
                <w:sz w:val="20"/>
                <w:szCs w:val="20"/>
                <w:highlight w:val="none"/>
              </w:rPr>
            </w:r>
            <w:r/>
          </w:p>
          <w:p>
            <w:pPr>
              <w:pStyle w:val="738"/>
              <w:rPr>
                <w:rFonts w:ascii="Abyssinica SIL" w:hAnsi="Abyssinica SIL" w:cs="Abyssinica SIL"/>
                <w:sz w:val="20"/>
                <w:szCs w:val="20"/>
              </w:rPr>
            </w:pPr>
            <w:r>
              <w:rPr>
                <w:rFonts w:ascii="Abyssinica SIL" w:hAnsi="Abyssinica SIL" w:eastAsia="Century Gothic" w:cs="Abyssinica SIL"/>
                <w:sz w:val="20"/>
                <w:szCs w:val="20"/>
                <w:lang w:val="fr-FR"/>
              </w:rPr>
              <w:t xml:space="preserve">Date de réalisation DPE : 07/09/2022</w:t>
            </w:r>
            <w:r>
              <w:rPr>
                <w:rFonts w:ascii="Abyssinica SIL" w:hAnsi="Abyssinica SIL" w:cs="Abyssinica SIL"/>
                <w:sz w:val="20"/>
                <w:szCs w:val="20"/>
                <w:highlight w:val="none"/>
              </w:rPr>
            </w:r>
            <w:r>
              <w:rPr>
                <w:rFonts w:ascii="Abyssinica SIL" w:hAnsi="Abyssinica SIL" w:eastAsia="Century Gothic" w:cs="Abyssinica SIL"/>
                <w:sz w:val="20"/>
                <w:szCs w:val="20"/>
                <w:highlight w:val="none"/>
              </w:rPr>
            </w:r>
          </w:p>
          <w:p>
            <w:pPr>
              <w:pStyle w:val="738"/>
              <w:ind w:left="0" w:right="198"/>
              <w:rPr>
                <w:rFonts w:ascii="Abyssinica SIL" w:hAnsi="Abyssinica SIL" w:cs="Abyssinica SIL"/>
                <w:sz w:val="20"/>
                <w:szCs w:val="20"/>
                <w:highlight w:val="none"/>
              </w:rPr>
            </w:pPr>
            <w:r>
              <w:rPr>
                <w:rFonts w:ascii="Abyssinica SIL" w:hAnsi="Abyssinica SIL" w:cs="Abyssinica SIL"/>
                <w:sz w:val="20"/>
                <w:szCs w:val="20"/>
                <w:highlight w:val="none"/>
              </w:rPr>
              <w:t xml:space="preserve">Montant estimé des dépenses annuelles d’énergie pour un usage standard entre : 2195€ et 2969€ prix moyens des énergies indexés au 01/01/2021 abonnements compris</w:t>
            </w:r>
            <w:r>
              <w:rPr>
                <w:rFonts w:ascii="Abyssinica SIL" w:hAnsi="Abyssinica SIL" w:cs="Abyssinica SIL"/>
                <w:sz w:val="20"/>
                <w:szCs w:val="20"/>
                <w:highlight w:val="none"/>
              </w:rPr>
            </w:r>
          </w:p>
          <w:p>
            <w:pPr>
              <w:pStyle w:val="738"/>
              <w:ind w:left="109" w:right="198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38"/>
              <w:ind w:left="109" w:right="198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38"/>
              <w:ind w:left="109" w:right="198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38"/>
              <w:ind w:left="109" w:right="198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38"/>
              <w:ind w:left="109" w:right="198"/>
              <w:rPr>
                <w:highlight w:val="none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color="auto" w:fill="ffffff"/>
              </w:rPr>
            </w:r>
            <w:r/>
            <w:r/>
            <w:r>
              <w:rPr>
                <w:rFonts w:ascii="Century Gothic" w:hAnsi="Century Gothic" w:eastAsia="Century Gothic"/>
                <w:color w:val="000000"/>
                <w:sz w:val="28"/>
                <w:szCs w:val="28"/>
              </w:rPr>
            </w:r>
            <w:r/>
            <w:r/>
            <w:r/>
            <w:r/>
            <w:r/>
          </w:p>
        </w:tc>
      </w:tr>
      <w:tr>
        <w:trPr/>
        <w:tc>
          <w:tcPr>
            <w:shd w:val="clear" w:color="auto" w:fill="ffffff"/>
            <w:tcW w:w="15668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color w:val="000000"/>
                <w:sz w:val="6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hd w:val="clear" w:color="auto" w:fill="ffffff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8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sz w:val="8"/>
                <w:shd w:val="clear" w:color="auto" w:fill="990134"/>
              </w:rPr>
            </w:r>
            <w:r/>
          </w:p>
        </w:tc>
        <w:tc>
          <w:tcPr>
            <w:shd w:val="clear" w:color="auto" w:fill="ffffff"/>
            <w:tcW w:w="7710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</w:pPr>
            <w:r/>
            <w:r/>
          </w:p>
        </w:tc>
      </w:tr>
    </w:tbl>
    <w:p>
      <w:pPr>
        <w:pStyle w:val="738"/>
        <w:rPr>
          <w:rFonts w:ascii="Century Gothic" w:hAnsi="Century Gothic" w:eastAsia="Century Gothic"/>
          <w:sz w:val="8"/>
          <w:shd w:val="clear" w:color="auto" w:fill="990134"/>
        </w:rPr>
      </w:pPr>
      <w:r/>
      <w:r/>
    </w:p>
    <w:p>
      <w:pPr>
        <w:pStyle w:val="738"/>
        <w:rPr>
          <w:rFonts w:ascii="Century Gothic" w:hAnsi="Century Gothic" w:eastAsia="Century Gothic"/>
          <w:sz w:val="8"/>
          <w:shd w:val="clear" w:color="auto" w:fill="990134"/>
        </w:rPr>
      </w:pPr>
      <w:r>
        <w:rPr>
          <w:rFonts w:ascii="Century Gothic" w:hAnsi="Century Gothic" w:eastAsia="Century Gothic"/>
          <w:sz w:val="8"/>
          <w:shd w:val="clear" w:color="auto" w:fill="99013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23811" w:h="16838" w:orient="landscape"/>
      <w:pgMar w:top="397" w:right="397" w:bottom="170" w:left="170" w:header="113" w:footer="17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panose1 w:val="020006030200000200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>
      <w:trPr>
        <w:trHeight w:val="0"/>
      </w:trPr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b/>
              <w:color w:val="ffffff"/>
              <w:sz w:val="6"/>
            </w:rPr>
          </w:pPr>
          <w:r>
            <w:rPr>
              <w:rFonts w:ascii="Century Gothic" w:hAnsi="Century Gothic" w:eastAsia="Century Gothic"/>
              <w:b/>
              <w:color w:val="ffffff"/>
              <w:sz w:val="6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b/>
              <w:color w:val="ffffff"/>
              <w:sz w:val="4"/>
            </w:rPr>
          </w:pPr>
          <w:r>
            <w:rPr>
              <w:rFonts w:ascii="Century Gothic" w:hAnsi="Century Gothic" w:eastAsia="Century Gothic"/>
              <w:b/>
              <w:color w:val="ffffff"/>
              <w:sz w:val="4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color w:val="ffffff"/>
              <w:lang w:val="fr-FR"/>
            </w:rPr>
          </w:pPr>
          <w:r>
            <w:rPr>
              <w:rFonts w:ascii="Century Gothic" w:hAnsi="Century Gothic" w:eastAsia="Century Gothic"/>
              <w:b/>
              <w:color w:val="ffffff"/>
              <w:sz w:val="28"/>
              <w:lang w:val="fr-FR"/>
            </w:rPr>
            <w:t xml:space="preserve">PÉRIGORD NOIR IMMOBILIER – 05.53.13.26.86 - 19 rue de PARIS, 24260, LE BUGUE, perigordnoirimmobilier.com</w:t>
          </w:r>
          <w:r/>
        </w:p>
      </w:tc>
    </w:tr>
  </w:tbl>
  <w:p>
    <w:pPr>
      <w:pStyle w:val="738"/>
      <w:rPr>
        <w:rFonts w:ascii="Century Gothic" w:hAnsi="Century Gothic" w:eastAsia="Century Gothic"/>
        <w:color w:val="ffffff"/>
        <w:lang w:val="fr-FR"/>
      </w:rPr>
    </w:pPr>
    <w:r>
      <w:rPr>
        <w:rFonts w:ascii="Century Gothic" w:hAnsi="Century Gothic" w:eastAsia="Century Gothic"/>
        <w:color w:val="ffffff"/>
        <w:lang w:val="fr-FR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4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4"/>
    <w:next w:val="7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34"/>
    <w:next w:val="7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4"/>
    <w:next w:val="7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4"/>
    <w:next w:val="7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34"/>
    <w:next w:val="7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4"/>
    <w:next w:val="7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4"/>
    <w:next w:val="7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4"/>
    <w:next w:val="7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4"/>
    <w:next w:val="7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4"/>
    <w:next w:val="7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5"/>
    <w:link w:val="33"/>
    <w:uiPriority w:val="10"/>
    <w:rPr>
      <w:sz w:val="48"/>
      <w:szCs w:val="48"/>
    </w:rPr>
  </w:style>
  <w:style w:type="paragraph" w:styleId="35">
    <w:name w:val="Subtitle"/>
    <w:basedOn w:val="734"/>
    <w:next w:val="7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5"/>
    <w:link w:val="35"/>
    <w:uiPriority w:val="11"/>
    <w:rPr>
      <w:sz w:val="24"/>
      <w:szCs w:val="24"/>
    </w:rPr>
  </w:style>
  <w:style w:type="paragraph" w:styleId="37">
    <w:name w:val="Quote"/>
    <w:basedOn w:val="734"/>
    <w:next w:val="7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4"/>
    <w:next w:val="7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34"/>
    <w:next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7"/>
    <w:uiPriority w:val="99"/>
  </w:style>
  <w:style w:type="table" w:styleId="47">
    <w:name w:val="Table Grid"/>
    <w:basedOn w:val="7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5"/>
    <w:uiPriority w:val="99"/>
    <w:unhideWhenUsed/>
    <w:rPr>
      <w:vertAlign w:val="superscript"/>
    </w:rPr>
  </w:style>
  <w:style w:type="paragraph" w:styleId="177">
    <w:name w:val="endnote text"/>
    <w:basedOn w:val="7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5"/>
    <w:uiPriority w:val="99"/>
    <w:semiHidden/>
    <w:unhideWhenUsed/>
    <w:rPr>
      <w:vertAlign w:val="superscript"/>
    </w:rPr>
  </w:style>
  <w:style w:type="paragraph" w:styleId="180">
    <w:name w:val="toc 1"/>
    <w:basedOn w:val="734"/>
    <w:next w:val="7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4"/>
    <w:next w:val="7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4"/>
    <w:next w:val="7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4"/>
    <w:next w:val="7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4"/>
    <w:next w:val="7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4"/>
    <w:next w:val="7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4"/>
    <w:next w:val="7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4"/>
    <w:next w:val="7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4"/>
    <w:next w:val="7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4"/>
    <w:next w:val="734"/>
    <w:uiPriority w:val="99"/>
    <w:unhideWhenUsed/>
    <w:pPr>
      <w:spacing w:after="0" w:afterAutospacing="0"/>
    </w:pPr>
  </w:style>
  <w:style w:type="paragraph" w:styleId="734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paragraph" w:styleId="73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39" w:customStyle="1">
    <w:name w:val="Titre arial 14 pts gras"/>
    <w:basedOn w:val="734"/>
    <w:qFormat/>
    <w:rPr>
      <w:b/>
      <w:sz w:val="28"/>
    </w:rPr>
  </w:style>
  <w:style w:type="paragraph" w:styleId="740" w:customStyle="1">
    <w:name w:val="Détail"/>
    <w:basedOn w:val="734"/>
    <w:qFormat/>
  </w:style>
  <w:style w:type="paragraph" w:styleId="741" w:customStyle="1">
    <w:name w:val="Type de détail"/>
    <w:basedOn w:val="734"/>
    <w:next w:val="740"/>
    <w:qFormat/>
    <w:rPr>
      <w:b/>
      <w:u w:val="single"/>
    </w:rPr>
  </w:style>
  <w:style w:type="paragraph" w:styleId="742" w:customStyle="1">
    <w:name w:val="Enumeration arial 10 pts"/>
    <w:basedOn w:val="734"/>
    <w:qFormat/>
    <w:pPr>
      <w:numPr>
        <w:numId w:val="1"/>
      </w:numPr>
    </w:pPr>
  </w:style>
  <w:style w:type="paragraph" w:styleId="743" w:customStyle="1">
    <w:name w:val="align droite 2cm"/>
    <w:basedOn w:val="734"/>
    <w:qFormat/>
  </w:style>
  <w:style w:type="paragraph" w:styleId="744" w:customStyle="1">
    <w:name w:val="Adresse"/>
    <w:basedOn w:val="734"/>
    <w:qFormat/>
    <w:pPr>
      <w:ind w:left="5103"/>
    </w:pPr>
  </w:style>
  <w:style w:type="paragraph" w:styleId="745">
    <w:name w:val="Header"/>
    <w:basedOn w:val="734"/>
    <w:link w:val="746"/>
    <w:pPr>
      <w:tabs>
        <w:tab w:val="center" w:pos="4703" w:leader="none"/>
        <w:tab w:val="right" w:pos="9406" w:leader="none"/>
      </w:tabs>
    </w:pPr>
  </w:style>
  <w:style w:type="character" w:styleId="746" w:customStyle="1">
    <w:name w:val="Header Char"/>
    <w:basedOn w:val="735"/>
    <w:link w:val="745"/>
    <w:rPr>
      <w:rFonts w:hAnsi="Arial" w:eastAsia="Arial"/>
      <w:sz w:val="20"/>
    </w:rPr>
  </w:style>
  <w:style w:type="paragraph" w:styleId="747">
    <w:name w:val="Footer"/>
    <w:basedOn w:val="734"/>
    <w:link w:val="748"/>
    <w:pPr>
      <w:tabs>
        <w:tab w:val="center" w:pos="4703" w:leader="none"/>
        <w:tab w:val="right" w:pos="9406" w:leader="none"/>
      </w:tabs>
    </w:pPr>
  </w:style>
  <w:style w:type="character" w:styleId="748" w:customStyle="1">
    <w:name w:val="Footer Char"/>
    <w:basedOn w:val="735"/>
    <w:link w:val="747"/>
    <w:rPr>
      <w:rFonts w:hAnsi="Arial" w:eastAsia="Arial"/>
      <w:sz w:val="20"/>
    </w:rPr>
  </w:style>
  <w:style w:type="character" w:styleId="749">
    <w:name w:val="Default Paragraph Font PHPDOCX"/>
    <w:uiPriority w:val="1"/>
    <w:semiHidden/>
    <w:unhideWhenUsed/>
  </w:style>
  <w:style w:type="paragraph" w:styleId="750">
    <w:name w:val="List Paragraph PHPDOCX"/>
    <w:basedOn w:val="734"/>
    <w:uiPriority w:val="34"/>
    <w:qFormat/>
    <w:pPr>
      <w:contextualSpacing/>
      <w:ind w:left="720"/>
    </w:pPr>
  </w:style>
  <w:style w:type="paragraph" w:styleId="751">
    <w:name w:val="Title PHPDOCX"/>
    <w:basedOn w:val="734"/>
    <w:next w:val="734"/>
    <w:link w:val="75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2" w:customStyle="1">
    <w:name w:val="Title Car PHPDOCX"/>
    <w:basedOn w:val="749"/>
    <w:link w:val="75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53">
    <w:name w:val="Subtitle PHPDOCX"/>
    <w:basedOn w:val="734"/>
    <w:next w:val="734"/>
    <w:link w:val="75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54" w:customStyle="1">
    <w:name w:val="Subtitle Car PHPDOCX"/>
    <w:basedOn w:val="749"/>
    <w:link w:val="75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5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7">
    <w:name w:val="annotation reference PHPDOCX"/>
    <w:basedOn w:val="749"/>
    <w:uiPriority w:val="99"/>
    <w:semiHidden/>
    <w:unhideWhenUsed/>
    <w:rPr>
      <w:sz w:val="16"/>
      <w:szCs w:val="16"/>
    </w:rPr>
  </w:style>
  <w:style w:type="paragraph" w:styleId="758">
    <w:name w:val="annotation text PHPDOCX"/>
    <w:basedOn w:val="734"/>
    <w:link w:val="75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59" w:customStyle="1">
    <w:name w:val="Comment Text Char PHPDOCX"/>
    <w:basedOn w:val="749"/>
    <w:link w:val="758"/>
    <w:uiPriority w:val="99"/>
    <w:semiHidden/>
    <w:rPr>
      <w:sz w:val="20"/>
      <w:szCs w:val="20"/>
    </w:rPr>
  </w:style>
  <w:style w:type="paragraph" w:styleId="760">
    <w:name w:val="annotation subject PHPDOCX"/>
    <w:basedOn w:val="758"/>
    <w:next w:val="758"/>
    <w:link w:val="761"/>
    <w:uiPriority w:val="99"/>
    <w:semiHidden/>
    <w:unhideWhenUsed/>
    <w:rPr>
      <w:b/>
      <w:bCs/>
    </w:rPr>
  </w:style>
  <w:style w:type="character" w:styleId="761" w:customStyle="1">
    <w:name w:val="Comment Subject Char PHPDOCX"/>
    <w:basedOn w:val="759"/>
    <w:link w:val="760"/>
    <w:uiPriority w:val="99"/>
    <w:semiHidden/>
    <w:rPr>
      <w:b/>
      <w:bCs/>
      <w:sz w:val="20"/>
      <w:szCs w:val="20"/>
    </w:rPr>
  </w:style>
  <w:style w:type="paragraph" w:styleId="762">
    <w:name w:val="Balloon Text PHPDOCX"/>
    <w:basedOn w:val="734"/>
    <w:link w:val="7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3" w:customStyle="1">
    <w:name w:val="Balloon Text Char PHPDOCX"/>
    <w:basedOn w:val="749"/>
    <w:link w:val="762"/>
    <w:uiPriority w:val="99"/>
    <w:semiHidden/>
    <w:rPr>
      <w:rFonts w:ascii="Tahoma" w:hAnsi="Tahoma" w:cs="Tahoma"/>
      <w:sz w:val="16"/>
      <w:szCs w:val="16"/>
    </w:rPr>
  </w:style>
  <w:style w:type="paragraph" w:styleId="764">
    <w:name w:val="footnote Text PHPDOCX"/>
    <w:basedOn w:val="734"/>
    <w:link w:val="76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5" w:customStyle="1">
    <w:name w:val="footnote Text Car PHPDOCX"/>
    <w:basedOn w:val="749"/>
    <w:link w:val="764"/>
    <w:uiPriority w:val="99"/>
    <w:semiHidden/>
    <w:rPr>
      <w:sz w:val="20"/>
      <w:szCs w:val="20"/>
    </w:rPr>
  </w:style>
  <w:style w:type="character" w:styleId="766">
    <w:name w:val="footnote Reference PHPDOCX"/>
    <w:basedOn w:val="749"/>
    <w:uiPriority w:val="99"/>
    <w:semiHidden/>
    <w:unhideWhenUsed/>
    <w:rPr>
      <w:vertAlign w:val="superscript"/>
    </w:rPr>
  </w:style>
  <w:style w:type="paragraph" w:styleId="767">
    <w:name w:val="endnote Text PHPDOCX"/>
    <w:basedOn w:val="734"/>
    <w:link w:val="7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8" w:customStyle="1">
    <w:name w:val="endnote Text Car PHPDOCX"/>
    <w:basedOn w:val="749"/>
    <w:link w:val="767"/>
    <w:uiPriority w:val="99"/>
    <w:semiHidden/>
    <w:rPr>
      <w:sz w:val="20"/>
      <w:szCs w:val="20"/>
    </w:rPr>
  </w:style>
  <w:style w:type="character" w:styleId="769">
    <w:name w:val="endnote Reference PHPDOCX"/>
    <w:basedOn w:val="74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verniis</cp:lastModifiedBy>
  <cp:revision>23</cp:revision>
  <dcterms:created xsi:type="dcterms:W3CDTF">2023-03-29T11:00:00Z</dcterms:created>
  <dcterms:modified xsi:type="dcterms:W3CDTF">2024-06-11T08:45:00Z</dcterms:modified>
</cp:coreProperties>
</file>