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71315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71314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8.4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Maison Ancienne à louer à SAINT-CYPRIEN, 97m², 3 chambres, garage, 700€/mois.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SAINT-CYPRIEN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700 €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6503080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3080p367347eec16b8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3080p367347eec16b8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9057677fa94dca76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9859677fa94dca77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7616677fa94dca78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97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8925677fa94dca78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À louer, maison ancienne de 97m² non meublée située dans un charmant quartier. Cette propriété comprend au rez de chaussée un séjour de 21 m2, une cuisine, et à l'étage 3 chambres et 1 salle de bains et la possibilité de jouir de la terrasse de 2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00m². Vous bénéficierez également d'un garage non fermé pour 1 voiture.  700€ par mois hors charges. Référence du bien : 6503080.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  <w:br/>
                    <w:t xml:space="preserve">Année constr.:  1900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Bon</w:t>
                    <w:br/>
                    <w:t xml:space="preserve">Surf. habitable:  97 m²</w:t>
                    <w:br/>
                    <w:t xml:space="preserve">Séjour:  21 m²</w:t>
                    <w:br/>
                    <w:t xml:space="preserve">Terrasse:  200 m²</w:t>
                    <w:br/>
                    <w:t xml:space="preserve">Hameau / Village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3 Chambres</w:t>
                    <w:br/>
                    <w:t xml:space="preserve">1 Salle de bain</w:t>
                    <w:br/>
                    <w:t xml:space="preserve">5 Pièces</w:t>
                    <w:br/>
                    <w:t xml:space="preserve">1 Garage</w:t>
                    <w:br/>
                    <w:t xml:space="preserve">Chauffage:  Electricité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Village </w:t>
                    <w:br/>
                    <w:br/>
                    <w:t xml:space="preserve">REZ DE CHAUSSÉE:</w:t>
                    <w:br/>
                    <w:t xml:space="preserve"> - Cellier /buanderie 4,68 m2.</w:t>
                    <w:br/>
                    <w:t xml:space="preserve"> - Cuisine 12,50 m2</w:t>
                    <w:br/>
                    <w:t xml:space="preserve"> - Hall d'entrée 3,46 m2.</w:t>
                    <w:br/>
                    <w:t xml:space="preserve"> - Salon 21,32 m2.</w:t>
                    <w:br/>
                    <w:br/>
                    <w:t xml:space="preserve">1ER ÉTAGE:</w:t>
                    <w:br/>
                    <w:t xml:space="preserve"> - 3 Chambres 18,36 m2 - 12,71 m2 et 13,89 m2.</w:t>
                    <w:br/>
                    <w:t xml:space="preserve"> - Palier 8,48 m2.</w:t>
                    <w:br/>
                    <w:t xml:space="preserve"> - Salle de bains 6,65 m2.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DÉPENDANCES:</w:t>
                    <w:br/>
                    <w:t xml:space="preserve"> - Garage couvert</w:t>
                    <w:br/>
                    <w:br/>
                    <w:t xml:space="preserve">DPE:</w:t>
                    <w:br/>
                    <w:t xml:space="preserve"> - Consommation énergétique (en énergie primaire): 271 KWHep/m²an</w:t>
                    <w:br/>
                    <w:t xml:space="preserve"> - Emission de gaz à effet de serre: 9 Kgco2/m²an</w:t>
                    <w:br/>
                    <w:t xml:space="preserve"> - Année de référence utilisée pour établir la simulation des dépenses ann</w:t>
                  </w:r>
                  <w:r>
                    <w:rPr>
                      <w:rFonts w:cs="Arial"/>
                    </w:rPr>
                    <w:t xml:space="preserve">uelles 2021</w:t>
                    <w:br/>
                    <w:t xml:space="preserve"> - Date de réalisation DPE 15/07/2024</w:t>
                    <w:br/>
                    <w:t xml:space="preserve"> - Montant bas supposé et théorique des dépenses énergétiques: 2031 €</w:t>
                    <w:br/>
                    <w:t xml:space="preserve"> - Montant haut supposé et théorique des dépenses énergétiques: 2747 €</w:t>
                    <w:br/>
                    <w:br/>
                    <w:t xml:space="preserve">CHAUFFAGE:</w:t>
                    <w:br/>
                    <w:t xml:space="preserve"> - Electrique + au sol dans les pièces de vie du rdc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E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B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271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71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Date de réalisation DPE 15/07/2024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2031 €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2747 €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3080p267347eea12c7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80p267347eea12c7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3080p1167347ef7929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80p1167347ef79297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3080p967347ef997e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80p967347ef997e4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3080p767347ef6dca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80p767347ef6dca2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3080p567347eecd73f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80p567347eecd73f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3080p167347ee6a219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80p167347ee6a219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3080p1367347ef567e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80p1367347ef567e5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3080p1267347ef6452d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80p1267347ef6452d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3080p1467347ef83d80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80p1467347ef83d80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3080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3080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17</cp:revision>
  <dcterms:created xsi:type="dcterms:W3CDTF">2024-01-11T11:56:00Z</dcterms:created>
  <dcterms:modified xsi:type="dcterms:W3CDTF">2025-01-09T10:47:51Z</dcterms:modified>
</cp:coreProperties>
</file>