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Montserrat" w:hAnsi="Montserrat" w:eastAsia="Century Gothic"/>
          <w:b/>
          <w:bCs/>
        </w:rPr>
      </w:pPr>
      <w:r>
        <w:rPr>
          <w:rFonts w:ascii="Montserrat" w:hAnsi="Montserrat" w:eastAsia="Century Gothic"/>
          <w:b/>
          <w:bCs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62760" cy="724422"/>
                <wp:effectExtent l="0" t="0" r="0" b="0"/>
                <wp:docPr id="1" name="346866f4251dba452" descr="https://gildc.activimmo.ovh/mesimages/logo117gil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mesimages/logo117gildc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762759" cy="7244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8.8pt;height:57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Montserrat" w:hAnsi="Montserrat" w:eastAsia="Century Gothic"/>
          <w:b/>
          <w:bCs/>
        </w:rPr>
      </w:r>
      <w:r/>
    </w:p>
    <w:p>
      <w:pPr>
        <w:jc w:val="center"/>
        <w:rPr>
          <w:rFonts w:ascii="Montserrat" w:hAnsi="Montserrat" w:eastAsiaTheme="minorHAnsi"/>
          <w:b/>
          <w:bCs/>
          <w:sz w:val="22"/>
        </w:rPr>
      </w:pPr>
      <w:r>
        <w:rPr>
          <w:rFonts w:ascii="Montserrat" w:hAnsi="Montserrat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1"/>
                    <w:jc w:val="right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2397p36668f9c1ab714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2397p36668f9c1ab714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2397p45668f9c3334d7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397p45668f9c3334d7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2397p37668f9c225c4d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397p37668f9c225c4d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2397p38668f9c23e17f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397p38668f9c23e17f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2397p5668f9c13e6f1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397p5668f9c13e6f1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0"/>
                      <w:szCs w:val="28"/>
                    </w:rPr>
                  </w:pPr>
                  <w:r>
                    <w:rPr>
                      <w:rFonts w:ascii="Montserrat" w:hAnsi="Montserrat" w:eastAsia="Century Gothic"/>
                      <w:sz w:val="10"/>
                      <w:szCs w:val="28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Vente - Maison Ancienne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24220 MEYRALS</w:t>
                  </w:r>
                  <w:r/>
                </w:p>
                <w:p>
                  <w:pPr>
                    <w:pStyle w:val="681"/>
                    <w:ind w:right="113"/>
                    <w:jc w:val="both"/>
                    <w:rPr>
                      <w:rFonts w:ascii="Montserrat" w:hAnsi="Montserrat" w:eastAsia="Century Gothic"/>
                      <w:b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1"/>
                    <w:ind w:right="113"/>
                    <w:rPr>
                      <w:rFonts w:ascii="Montserrat" w:hAnsi="Montserrat" w:eastAsia="Century Gothic"/>
                      <w:b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sz w:val="20"/>
                    </w:rPr>
                    <w:t xml:space="preserve">Ravissante maison ancienne d'environ 120 m nichée dans un paisible hameau, non loin de St Cyprien. Offrant 2 chambres douillettes et une vaste pièce à vivre de plus de 40 m2, elle est chauffée par une pompe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 à chaleur. le tout est agrémenté d'un charmant petit jardin de curé, parfait pour savourer des moments de quiétude à la campagne.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1"/>
                    <w:jc w:val="both"/>
                    <w:rPr>
                      <w:rFonts w:ascii="Montserrat" w:hAnsi="Montserrat" w:eastAsia="Century Gothic"/>
                      <w:b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Prix :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223 000 €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*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  <w:t xml:space="preserve">Prix honoraires exclu :  209 000 €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t xml:space="preserve">REF : AP2647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204&amp;ges=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04&amp;ges=3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3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22/03/2022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Année de référence utilisée pour établir la simulation des dépenses annuelles 2021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bas supposé et théorique des dépenses énergétiques: 1330 € 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haut supposé et théorique des dépenses énergétiques: 1800 €</w:t>
                  </w:r>
                  <w:r/>
                </w:p>
              </w:tc>
            </w:tr>
          </w:tbl>
          <w:p>
            <w:pPr>
              <w:pStyle w:val="68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81"/>
        <w:jc w:val="center"/>
        <w:rPr>
          <w:rFonts w:ascii="Montserrat" w:hAnsi="Montserrat" w:eastAsia="Century Gothic"/>
          <w:color w:val="ffffff"/>
          <w:sz w:val="2"/>
          <w:lang w:val="fr-FR"/>
        </w:rPr>
      </w:pPr>
      <w:r>
        <w:rPr>
          <w:rFonts w:ascii="Montserrat" w:hAnsi="Montserrat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808080" w:themeFill="background1" w:themeFillShade="80"/>
          <w:tcW w:w="16845" w:type="dxa"/>
          <w:textDirection w:val="lrTb"/>
          <w:noWrap w:val="false"/>
        </w:tcPr>
        <w:p>
          <w:pPr>
            <w:pStyle w:val="681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b/>
              <w:color w:val="ffffff"/>
              <w:sz w:val="20"/>
              <w:szCs w:val="18"/>
            </w:rPr>
            <w:t xml:space="preserve">AGENCE DU PERIGORD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- 1, Voie de la Vallée - 24220SAINT-CYPRIEN - Tel: 05 53 28 96 75 - https://www.agence-du-perigord.com</w:t>
          </w:r>
          <w:r/>
        </w:p>
      </w:tc>
    </w:tr>
  </w:tbl>
  <w:p>
    <w:pPr>
      <w:pStyle w:val="681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sz w:val="12"/>
      </w:rPr>
    </w:pPr>
    <w:r>
      <w:rPr>
        <w:sz w:val="12"/>
      </w:rPr>
    </w:r>
    <w:r/>
  </w:p>
  <w:p>
    <w:pPr>
      <w:pStyle w:val="681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7"/>
    <w:next w:val="67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7"/>
    <w:next w:val="67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7"/>
    <w:next w:val="67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7"/>
    <w:next w:val="67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7"/>
    <w:next w:val="67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7"/>
    <w:next w:val="67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7"/>
    <w:next w:val="67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8"/>
    <w:link w:val="3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8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8"/>
    <w:link w:val="688"/>
    <w:uiPriority w:val="99"/>
  </w:style>
  <w:style w:type="character" w:styleId="44">
    <w:name w:val="Footer Char"/>
    <w:basedOn w:val="678"/>
    <w:link w:val="690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0"/>
    <w:uiPriority w:val="99"/>
  </w:style>
  <w:style w:type="table" w:styleId="47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8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8"/>
    <w:uiPriority w:val="99"/>
    <w:semiHidden/>
    <w:unhideWhenUsed/>
    <w:rPr>
      <w:vertAlign w:val="superscript"/>
    </w:rPr>
  </w:style>
  <w:style w:type="paragraph" w:styleId="180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2" w:customStyle="1">
    <w:name w:val="Titre arial 14 pts gras"/>
    <w:basedOn w:val="677"/>
    <w:qFormat/>
    <w:rPr>
      <w:b/>
      <w:sz w:val="28"/>
    </w:rPr>
  </w:style>
  <w:style w:type="paragraph" w:styleId="683" w:customStyle="1">
    <w:name w:val="Détail"/>
    <w:basedOn w:val="677"/>
    <w:qFormat/>
  </w:style>
  <w:style w:type="paragraph" w:styleId="684" w:customStyle="1">
    <w:name w:val="Type de détail"/>
    <w:basedOn w:val="677"/>
    <w:next w:val="683"/>
    <w:qFormat/>
    <w:rPr>
      <w:b/>
      <w:u w:val="single"/>
    </w:rPr>
  </w:style>
  <w:style w:type="paragraph" w:styleId="685" w:customStyle="1">
    <w:name w:val="Enumeration arial 10 pts"/>
    <w:basedOn w:val="677"/>
    <w:qFormat/>
    <w:pPr>
      <w:numPr>
        <w:numId w:val="1"/>
      </w:numPr>
    </w:pPr>
  </w:style>
  <w:style w:type="paragraph" w:styleId="686" w:customStyle="1">
    <w:name w:val="align droite 2cm"/>
    <w:basedOn w:val="677"/>
    <w:qFormat/>
  </w:style>
  <w:style w:type="paragraph" w:styleId="687" w:customStyle="1">
    <w:name w:val="Adresse"/>
    <w:basedOn w:val="677"/>
    <w:qFormat/>
    <w:pPr>
      <w:ind w:left="5103"/>
    </w:pPr>
  </w:style>
  <w:style w:type="paragraph" w:styleId="688">
    <w:name w:val="Header"/>
    <w:basedOn w:val="677"/>
    <w:link w:val="689"/>
    <w:pPr>
      <w:tabs>
        <w:tab w:val="center" w:pos="4703" w:leader="none"/>
        <w:tab w:val="right" w:pos="9406" w:leader="none"/>
      </w:tabs>
    </w:pPr>
  </w:style>
  <w:style w:type="character" w:styleId="689" w:customStyle="1">
    <w:name w:val="En-tête Car"/>
    <w:basedOn w:val="678"/>
    <w:link w:val="688"/>
    <w:rPr>
      <w:rFonts w:hAnsi="Arial" w:eastAsia="Arial"/>
      <w:sz w:val="20"/>
    </w:rPr>
  </w:style>
  <w:style w:type="paragraph" w:styleId="690">
    <w:name w:val="Footer"/>
    <w:basedOn w:val="677"/>
    <w:link w:val="691"/>
    <w:pPr>
      <w:tabs>
        <w:tab w:val="center" w:pos="4703" w:leader="none"/>
        <w:tab w:val="right" w:pos="9406" w:leader="none"/>
      </w:tabs>
    </w:pPr>
  </w:style>
  <w:style w:type="character" w:styleId="691" w:customStyle="1">
    <w:name w:val="Pied de page Car"/>
    <w:basedOn w:val="678"/>
    <w:link w:val="690"/>
    <w:rPr>
      <w:rFonts w:hAnsi="Arial" w:eastAsia="Arial"/>
      <w:sz w:val="20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7"/>
    <w:uiPriority w:val="34"/>
    <w:qFormat/>
    <w:pPr>
      <w:contextualSpacing/>
      <w:ind w:left="720"/>
    </w:pPr>
  </w:style>
  <w:style w:type="paragraph" w:styleId="694">
    <w:name w:val="Title PHPDOCX"/>
    <w:basedOn w:val="677"/>
    <w:next w:val="677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7"/>
    <w:next w:val="677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7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7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7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7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21</cp:revision>
  <dcterms:created xsi:type="dcterms:W3CDTF">2023-03-29T11:30:00Z</dcterms:created>
  <dcterms:modified xsi:type="dcterms:W3CDTF">2024-09-25T14:58:58Z</dcterms:modified>
</cp:coreProperties>
</file>