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Century Gothic" w:hAnsi="Century Gothic" w:eastAsiaTheme="minorHAnsi"/>
          <w:b/>
          <w:bCs/>
          <w:sz w:val="22"/>
        </w:rPr>
      </w:pPr>
      <w:r>
        <w:rPr>
          <w:rFonts w:ascii="Century Gothic" w:hAnsi="Century Gothic" w:eastAsia="Century Gothic"/>
          <w:b/>
          <w:bCs/>
        </w:rPr>
      </w:r>
      <w:r/>
      <w:r>
        <w:rPr>
          <w:rFonts w:ascii="Century Gothic" w:hAnsi="Century Gothic" w:eastAsia="Century Gothic"/>
          <w:b/>
          <w:bCs/>
        </w:rPr>
      </w:r>
      <w:r/>
    </w:p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16838"/>
      </w:tblGrid>
      <w:tr>
        <w:trPr/>
        <w:tc>
          <w:tcPr>
            <w:shd w:val="clear" w:color="auto" w:fill="auto"/>
            <w:tcW w:w="16838" w:type="dxa"/>
            <w:textDirection w:val="lrTb"/>
            <w:noWrap w:val="false"/>
          </w:tcPr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8184"/>
              <w:gridCol w:w="4111"/>
              <w:gridCol w:w="4471"/>
            </w:tblGrid>
            <w:tr>
              <w:trPr/>
              <w:tc>
                <w:tcPr>
                  <w:shd w:val="clear" w:color="auto" w:fill="auto"/>
                  <w:tcW w:w="8184" w:type="dxa"/>
                  <w:vMerge w:val="restart"/>
                  <w:textDirection w:val="lrTb"/>
                  <w:noWrap w:val="false"/>
                </w:tcPr>
                <w:p>
                  <w:pPr>
                    <w:pStyle w:val="682"/>
                    <w:jc w:val="right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6650027" cy="4038416"/>
                            <wp:effectExtent l="0" t="0" r="0" b="0"/>
                            <wp:docPr id="1" name="Picture 1" descr="https://gildc.activimmo.ovh/pic/450x346/17gildc6501096p5064a2d70f5eb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4261179" name="https://gildc.activimmo.ovh/pic/450x346/17gildc6501096p5064a2d70f5eb69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1"/>
                                    <a:srcRect l="13744" t="-482" r="-9565" b="482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6650026" cy="4038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0" o:spid="_x0000_s0" type="#_x0000_t75" style="width:523.6pt;height:318.0pt;mso-wrap-distance-left:0.0pt;mso-wrap-distance-top:0.0pt;mso-wrap-distance-right:0.0pt;mso-wrap-distance-bottom:0.0pt;" stroked="false">
                            <v:path textboxrect="0,0,0,0"/>
                            <v:imagedata r:id="rId11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/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111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929054" cy="1952703"/>
                            <wp:effectExtent l="0" t="0" r="0" b="0"/>
                            <wp:docPr id="2" name="Picture 1" descr="https://gildc.activimmo.ovh/pic/225x150/17gildc6501096p5864a2d72d55d1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3754512" name="https://gildc.activimmo.ovh/pic/225x150/17gildc6501096p5864a2d72d55d1e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929053" cy="19527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230.6pt;height:153.8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</w:tc>
              <w:tc>
                <w:tcPr>
                  <w:shd w:val="clear" w:color="auto" w:fill="auto"/>
                  <w:tcW w:w="4471" w:type="dxa"/>
                  <w:textDirection w:val="lrTb"/>
                  <w:noWrap w:val="false"/>
                </w:tcPr>
                <w:p>
                  <w:pPr>
                    <w:pStyle w:val="682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944511" cy="1963007"/>
                            <wp:effectExtent l="0" t="0" r="0" b="0"/>
                            <wp:docPr id="3" name="Picture 1" descr="https://gildc.activimmo.ovh/pic/225x150/17gildc6500372p106479bcb10d7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25x150/17gildc6500372p106479bcb10d737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944510" cy="19630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231.9pt;height:154.6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184" w:type="dxa"/>
                  <w:vMerge w:val="continue"/>
                  <w:textDirection w:val="lrTb"/>
                  <w:noWrap w:val="false"/>
                </w:tcPr>
                <w:p>
                  <w:pPr>
                    <w:pStyle w:val="682"/>
                  </w:pPr>
                  <w:r/>
                  <w:r/>
                </w:p>
              </w:tc>
              <w:tc>
                <w:tcPr>
                  <w:shd w:val="clear" w:color="auto" w:fill="auto"/>
                  <w:tcW w:w="4111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929054" cy="1952703"/>
                            <wp:effectExtent l="0" t="0" r="0" b="0"/>
                            <wp:docPr id="4" name="Picture 1" descr="https://gildc.activimmo.ovh/pic/225x150/17gildc6500372p116479bcdfab3d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25x150/17gildc6500372p116479bcdfab3d1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929053" cy="19527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230.6pt;height:153.8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4471" w:type="dxa"/>
                  <w:vAlign w:val="bottom"/>
                  <w:textDirection w:val="lrTb"/>
                  <w:noWrap w:val="false"/>
                </w:tcPr>
                <w:p>
                  <w:pPr>
                    <w:pStyle w:val="682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929054" cy="1952703"/>
                            <wp:effectExtent l="0" t="0" r="0" b="0"/>
                            <wp:docPr id="5" name="Picture 1" descr="https://gildc.activimmo.ovh/pic/225x150/17gildc6500372p406479c01fc44a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4139001" name="https://gildc.activimmo.ovh/pic/225x150/17gildc6500372p406479c01fc44a3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5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929053" cy="19527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230.6pt;height:153.8pt;mso-wrap-distance-left:0.0pt;mso-wrap-distance-top:0.0pt;mso-wrap-distance-right:0.0pt;mso-wrap-distance-bottom:0.0pt;" stroked="false">
                            <v:path textboxrect="0,0,0,0"/>
                            <v:imagedata r:id="rId15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682"/>
              <w:jc w:val="center"/>
              <w:rPr>
                <w:rFonts w:ascii="Century Gothic" w:hAnsi="Century Gothic" w:eastAsia="Century Gothic"/>
                <w:sz w:val="8"/>
              </w:rPr>
            </w:pPr>
            <w:r>
              <w:rPr>
                <w:rFonts w:ascii="Century Gothic" w:hAnsi="Century Gothic" w:eastAsia="Century Gothic"/>
                <w:sz w:val="8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</w:tcBorders>
            <w:tcW w:w="16838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10748"/>
              <w:gridCol w:w="5889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10748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4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  <w:szCs w:val="32"/>
                      <w:highlight w:val="none"/>
                    </w:rPr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32"/>
                      <w:szCs w:val="32"/>
                      <w:highlight w:val="none"/>
                    </w:rPr>
                  </w:r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bCs/>
                      <w:color w:val="002060"/>
                      <w:sz w:val="32"/>
                      <w:szCs w:val="32"/>
                      <w:highlight w:val="none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02060"/>
                      <w:sz w:val="32"/>
                      <w:szCs w:val="32"/>
                    </w:rPr>
                  </w:r>
                  <w:r>
                    <w:rPr>
                      <w:rFonts w:ascii="Century Gothic" w:hAnsi="Century Gothic" w:eastAsia="Century Gothic"/>
                      <w:b/>
                      <w:color w:val="002060"/>
                      <w:sz w:val="32"/>
                      <w:szCs w:val="32"/>
                      <w:lang w:val="fr-FR"/>
                    </w:rPr>
                    <w:t xml:space="preserve">AP2531-2</w:t>
                  </w:r>
                  <w:r>
                    <w:rPr>
                      <w:rFonts w:ascii="Century Gothic" w:hAnsi="Century Gothic" w:eastAsia="Century Gothic"/>
                      <w:b/>
                      <w:color w:val="002060"/>
                      <w:sz w:val="32"/>
                      <w:szCs w:val="32"/>
                    </w:rPr>
                    <w:t xml:space="preserve">- Gîtes chambres d'hôtes</w:t>
                  </w:r>
                  <w:r>
                    <w:rPr>
                      <w:rFonts w:ascii="Century Gothic" w:hAnsi="Century Gothic" w:eastAsia="Century Gothic"/>
                      <w:b/>
                      <w:color w:val="002060"/>
                      <w:sz w:val="32"/>
                      <w:szCs w:val="32"/>
                    </w:rPr>
                    <w:t xml:space="preserve"> - </w:t>
                  </w:r>
                  <w:r>
                    <w:rPr>
                      <w:rFonts w:ascii="Century Gothic" w:hAnsi="Century Gothic" w:eastAsia="Century Gothic"/>
                      <w:b/>
                      <w:color w:val="002060"/>
                      <w:sz w:val="32"/>
                      <w:szCs w:val="32"/>
                    </w:rPr>
                    <w:t xml:space="preserve">24480 LE BUISSON DE CADOUIN</w:t>
                  </w:r>
                  <w:r>
                    <w:rPr>
                      <w:color w:val="002060"/>
                      <w:sz w:val="32"/>
                      <w:szCs w:val="32"/>
                    </w:rPr>
                  </w:r>
                </w:p>
                <w:p>
                  <w:pPr>
                    <w:pStyle w:val="682"/>
                    <w:ind w:right="113"/>
                    <w:jc w:val="both"/>
                    <w:rPr>
                      <w:rFonts w:ascii="Century Gothic" w:hAnsi="Century Gothic" w:eastAsia="Century Gothic"/>
                      <w:b/>
                      <w:sz w:val="18"/>
                      <w:szCs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8"/>
                      <w:szCs w:val="18"/>
                    </w:rPr>
                  </w:r>
                  <w:r>
                    <w:rPr>
                      <w:rFonts w:ascii="Century Gothic" w:hAnsi="Century Gothic" w:eastAsia="Century Gothic"/>
                      <w:b/>
                      <w:sz w:val="18"/>
                      <w:szCs w:val="18"/>
                    </w:rPr>
                  </w:r>
                </w:p>
                <w:p>
                  <w:pPr>
                    <w:pStyle w:val="682"/>
                    <w:ind w:right="113"/>
                    <w:jc w:val="both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La propriété sent bon le soleil, le Périgord, les vacances, la Toscane .... Sur les hauteurs du Buisson de Cadouin dans un petit hameau dont le nom signifie : Petite Fontaine, ensemble charmant de trois maisons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 dont deux gîtes. 197 m2 au total, 12 pièces, 1 salle de bain, 3 salles d'eau. Tout est clean, opérationnel même l'hiver. Environnement bucolique et tranquille. Vue dégagée sur la campagne. Grande piscine (liner et pompe 2019). À 5 mn d'un village tous com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merces, écoles collège, gare SNCF. Le prix est particulièrement attractif si l'on considère les prestations proposées de qualité.  </w:t>
                    <w:br/>
                    <w:t xml:space="preserve">Les informations sur les risques auxquels ce bien est exposé sont disponibles sur le site Géorisques: www.georisques.gouv.fr</w:t>
                  </w:r>
                  <w:r/>
                </w:p>
                <w:p>
                  <w:pPr>
                    <w:pStyle w:val="682"/>
                    <w:jc w:val="both"/>
                    <w:rPr>
                      <w:rFonts w:ascii="Century Gothic" w:hAnsi="Century Gothic" w:eastAsia="Century Gothic"/>
                      <w:b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2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4"/>
                      <w:szCs w:val="44"/>
                    </w:rPr>
                    <w:t xml:space="preserve">Prix :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4"/>
                      <w:szCs w:val="44"/>
                    </w:rPr>
                    <w:t xml:space="preserve">424 000 €</w:t>
                  </w: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4"/>
                      <w:szCs w:val="44"/>
                    </w:rPr>
                    <w:t xml:space="preserve">*</w:t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* Honoraires à charge de l'acquéreur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br/>
                    <w:t xml:space="preserve">Prix honoraires exclu :  400 000 €</w:t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rPr>
                      <w:rFonts w:ascii="Century Gothic" w:hAnsi="Century Gothic" w:eastAsia="Century Gothic"/>
                      <w:b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20"/>
                      <w:lang w:val="fr-FR"/>
                    </w:rPr>
                    <w:t xml:space="preserve">                                                                                                    </w:t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5889" w:type="dxa"/>
                  <w:textDirection w:val="lrTb"/>
                  <w:noWrap w:val="false"/>
                </w:tcPr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979195" cy="979195"/>
                            <wp:effectExtent l="0" t="0" r="0" b="0"/>
                            <wp:docPr id="6" name="Picture 1" descr="https://dpe.files.activimmo.com/elan?dpe=327&amp;ges=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084453" name="https://dpe.files.activimmo.com/elan?dpe=327&amp;ges=76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979194" cy="9791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77.1pt;height:77.1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/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   </w: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  <w:t xml:space="preserve"> </w:t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983677" cy="983677"/>
                            <wp:effectExtent l="0" t="0" r="0" b="0"/>
                            <wp:docPr id="7" name="Picture 1" descr="https://dpe.files.activimmo.com/elan/ges/?ges=0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8358652" name="https://dpe.files.activimmo.com/elan/ges/?ges=076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983676" cy="983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width:77.5pt;height:77.5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6"/>
                      <w:szCs w:val="16"/>
                      <w:highlight w:val="none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Date de réalisation 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dpe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: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 28/06/2023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16"/>
                      <w:szCs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highlight w:val="none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highlight w:val="none"/>
                      <w:lang w:val="fr-FR"/>
                    </w:rPr>
                  </w:r>
                </w:p>
                <w:p>
                  <w:pPr>
                    <w:pStyle w:val="682"/>
                    <w:ind w:left="37"/>
                    <w:jc w:val="center"/>
                    <w:rPr>
                      <w:rFonts w:ascii="Times New Roman" w:hAnsi="Times New Roman" w:eastAsia="Times New Roman" w:cs="Times New Roman"/>
                      <w:color w:val="000000"/>
                      <w:sz w:val="16"/>
                      <w:szCs w:val="16"/>
                      <w:highlight w:val="none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Times New Roman" w:hAnsi="Times New Roman" w:eastAsia="Times New Roman" w:cs="Times New Roman"/>
                      <w:color w:val="000000"/>
                      <w:sz w:val="18"/>
                      <w:szCs w:val="18"/>
                    </w:rPr>
                    <w:t xml:space="preserve">Montant estimé des dépenses annuelles d’énergie pour un usage standard : entre 2 180€ et 2 980€ prix moyens des énergies indexés au 1er janvier 2021 abonnements compris</w:t>
                  </w:r>
                  <w:r>
                    <w:rPr>
                      <w:rFonts w:ascii="Times New Roman" w:hAnsi="Times New Roman" w:eastAsia="Times New Roman" w:cs="Times New Roman"/>
                      <w:color w:val="000000"/>
                      <w:sz w:val="16"/>
                      <w:szCs w:val="16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16"/>
                      <w:szCs w:val="16"/>
                    </w:rPr>
                  </w:r>
                </w:p>
                <w:p>
                  <w:pPr>
                    <w:pStyle w:val="682"/>
                    <w:ind w:left="37"/>
                    <w:jc w:val="center"/>
                    <w:rPr>
                      <w:rFonts w:ascii="Century Gothic" w:hAnsi="Century Gothic" w:eastAsia="Century Gothic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0000"/>
                      <w:sz w:val="16"/>
                      <w:szCs w:val="16"/>
                      <w:highlight w:val="none"/>
                    </w:rPr>
                    <w:t xml:space="preserve">Audit disponible</w:t>
                  </w:r>
                  <w:r>
                    <w:rPr>
                      <w:rFonts w:ascii="Times New Roman" w:hAnsi="Times New Roman" w:eastAsia="Times New Roman" w:cs="Times New Roman"/>
                      <w:color w:val="000000"/>
                      <w:sz w:val="16"/>
                      <w:szCs w:val="16"/>
                      <w:highlight w:val="none"/>
                    </w:rPr>
                  </w:r>
                </w:p>
                <w:p>
                  <w:pPr>
                    <w:pStyle w:val="682"/>
                    <w:ind w:left="37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866604" cy="837280"/>
                            <wp:effectExtent l="0" t="0" r="0" b="0"/>
                            <wp:docPr id="8" nam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6072650" name="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8"/>
                                    <a:srcRect l="17564" t="19520" r="18222" b="18438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866603" cy="8372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" o:spid="_x0000_s7" type="#_x0000_t75" style="width:68.2pt;height:65.9pt;mso-wrap-distance-left:0.0pt;mso-wrap-distance-top:0.0pt;mso-wrap-distance-right:0.0pt;mso-wrap-distance-bottom:0.0pt;" stroked="false">
                            <v:path textboxrect="0,0,0,0"/>
                            <v:imagedata r:id="rId18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82"/>
                    <w:ind w:left="37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r>
                  <w:r/>
                </w:p>
              </w:tc>
            </w:tr>
          </w:tbl>
          <w:p>
            <w:pPr>
              <w:pStyle w:val="682"/>
              <w:rPr>
                <w:rFonts w:ascii="Century Gothic" w:hAnsi="Century Gothic" w:eastAsia="Century Gothic"/>
                <w:sz w:val="2"/>
                <w:lang w:val="fr-FR"/>
              </w:rPr>
            </w:pPr>
            <w:r>
              <w:rPr>
                <w:rFonts w:ascii="Century Gothic" w:hAnsi="Century Gothic" w:eastAsia="Century Gothic"/>
                <w:sz w:val="2"/>
                <w:lang w:val="fr-FR"/>
              </w:rPr>
            </w:r>
            <w:r/>
          </w:p>
        </w:tc>
      </w:tr>
    </w:tbl>
    <w:p>
      <w:pPr>
        <w:pStyle w:val="682"/>
        <w:jc w:val="center"/>
        <w:rPr>
          <w:rFonts w:ascii="Century Gothic" w:hAnsi="Century Gothic" w:eastAsia="Century Gothic"/>
          <w:color w:val="ffffff"/>
          <w:sz w:val="2"/>
          <w:lang w:val="fr-FR"/>
        </w:rPr>
      </w:pPr>
      <w:r>
        <w:rPr>
          <w:rFonts w:ascii="Century Gothic" w:hAnsi="Century Gothic" w:eastAsia="Century Gothic"/>
          <w:color w:val="ffffff"/>
          <w:sz w:val="2"/>
          <w:lang w:val="fr-FR"/>
        </w:rPr>
      </w:r>
      <w:r/>
    </w:p>
    <w:sectPr>
      <w:headerReference w:type="default" r:id="rId9"/>
      <w:footerReference w:type="default" r:id="rId10"/>
      <w:footnotePr/>
      <w:endnotePr/>
      <w:type w:val="nextPage"/>
      <w:pgSz w:w="16838" w:h="11906" w:orient="landscape"/>
      <w:pgMar w:top="0" w:right="0" w:bottom="0" w:left="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tblLayout w:type="fixed"/>
      <w:tblCellMar>
        <w:left w:w="36" w:type="dxa"/>
        <w:right w:w="36" w:type="dxa"/>
      </w:tblCellMar>
      <w:tblLook w:val="04A0" w:firstRow="1" w:lastRow="0" w:firstColumn="1" w:lastColumn="0" w:noHBand="0" w:noVBand="1"/>
    </w:tblPr>
    <w:tblGrid>
      <w:gridCol w:w="16845"/>
    </w:tblGrid>
    <w:tr>
      <w:trPr/>
      <w:tc>
        <w:tcPr>
          <w:shd w:val="clear" w:color="auto" w:fill="052856"/>
          <w:tcW w:w="16845" w:type="dxa"/>
          <w:textDirection w:val="lrTb"/>
          <w:noWrap w:val="false"/>
        </w:tcPr>
        <w:p>
          <w:pPr>
            <w:pStyle w:val="682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/>
              <w:color w:val="ffffff"/>
              <w:sz w:val="22"/>
            </w:rPr>
            <w:t xml:space="preserve">PÉRIGORD NOIR IMMOBILIER - 05.53.13.26.86 - 19 rue de Paris, 24260, Le BUGUE – Périgordnoirimmobilier.com</w:t>
          </w:r>
          <w:r/>
        </w:p>
      </w:tc>
    </w:tr>
  </w:tbl>
  <w:p>
    <w:pPr>
      <w:pStyle w:val="682"/>
      <w:rPr>
        <w:rFonts w:ascii="Century Gothic" w:hAnsi="Century Gothic" w:eastAsia="Century Gothic"/>
        <w:color w:val="ffffff"/>
        <w:sz w:val="22"/>
      </w:rPr>
    </w:pPr>
    <w:r>
      <w:rPr>
        <w:rFonts w:ascii="Century Gothic" w:hAnsi="Century Gothic" w:eastAsia="Century Gothic"/>
        <w:color w:val="ffffff"/>
        <w:sz w:val="22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2"/>
      <w:jc w:val="center"/>
      <w:rPr>
        <w:sz w:val="12"/>
      </w:rPr>
    </w:pPr>
    <w:r>
      <w:rPr>
        <w:sz w:val="12"/>
      </w:rPr>
    </w:r>
    <w:r/>
  </w:p>
  <w:p>
    <w:pPr>
      <w:pStyle w:val="682"/>
      <w:rPr>
        <w:sz w:val="12"/>
      </w:rPr>
    </w:pPr>
    <w:r>
      <w:rPr>
        <w:sz w:val="12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686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78"/>
    <w:next w:val="67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79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78"/>
    <w:next w:val="67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79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78"/>
    <w:next w:val="67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79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78"/>
    <w:next w:val="67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79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78"/>
    <w:next w:val="67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79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78"/>
    <w:next w:val="67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79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78"/>
    <w:next w:val="67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79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78"/>
    <w:next w:val="67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79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78"/>
    <w:next w:val="67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79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78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78"/>
    <w:next w:val="67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79"/>
    <w:link w:val="33"/>
    <w:uiPriority w:val="10"/>
    <w:rPr>
      <w:sz w:val="48"/>
      <w:szCs w:val="48"/>
    </w:rPr>
  </w:style>
  <w:style w:type="paragraph" w:styleId="35">
    <w:name w:val="Subtitle"/>
    <w:basedOn w:val="678"/>
    <w:next w:val="67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79"/>
    <w:link w:val="35"/>
    <w:uiPriority w:val="11"/>
    <w:rPr>
      <w:sz w:val="24"/>
      <w:szCs w:val="24"/>
    </w:rPr>
  </w:style>
  <w:style w:type="paragraph" w:styleId="37">
    <w:name w:val="Quote"/>
    <w:basedOn w:val="678"/>
    <w:next w:val="67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78"/>
    <w:next w:val="67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5">
    <w:name w:val="Caption"/>
    <w:basedOn w:val="678"/>
    <w:next w:val="67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91"/>
    <w:uiPriority w:val="99"/>
  </w:style>
  <w:style w:type="table" w:styleId="47">
    <w:name w:val="Table Grid"/>
    <w:basedOn w:val="680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7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79"/>
    <w:uiPriority w:val="99"/>
    <w:unhideWhenUsed/>
    <w:rPr>
      <w:vertAlign w:val="superscript"/>
    </w:rPr>
  </w:style>
  <w:style w:type="paragraph" w:styleId="177">
    <w:name w:val="endnote text"/>
    <w:basedOn w:val="67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79"/>
    <w:uiPriority w:val="99"/>
    <w:semiHidden/>
    <w:unhideWhenUsed/>
    <w:rPr>
      <w:vertAlign w:val="superscript"/>
    </w:rPr>
  </w:style>
  <w:style w:type="paragraph" w:styleId="180">
    <w:name w:val="toc 1"/>
    <w:basedOn w:val="678"/>
    <w:next w:val="67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78"/>
    <w:next w:val="67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78"/>
    <w:next w:val="67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78"/>
    <w:next w:val="67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78"/>
    <w:next w:val="67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78"/>
    <w:next w:val="67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78"/>
    <w:next w:val="67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78"/>
    <w:next w:val="67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78"/>
    <w:next w:val="67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78"/>
    <w:next w:val="678"/>
    <w:uiPriority w:val="99"/>
    <w:unhideWhenUsed/>
    <w:pPr>
      <w:spacing w:after="0" w:afterAutospacing="0"/>
    </w:pPr>
  </w:style>
  <w:style w:type="paragraph" w:styleId="678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679" w:default="1">
    <w:name w:val="Default Paragraph Font"/>
    <w:uiPriority w:val="1"/>
    <w:semiHidden/>
    <w:unhideWhenUsed/>
  </w:style>
  <w:style w:type="table" w:styleId="68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1" w:default="1">
    <w:name w:val="No List"/>
    <w:uiPriority w:val="99"/>
    <w:semiHidden/>
    <w:unhideWhenUsed/>
  </w:style>
  <w:style w:type="paragraph" w:styleId="682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683" w:customStyle="1">
    <w:name w:val="Titre arial 14 pts gras"/>
    <w:basedOn w:val="678"/>
    <w:qFormat/>
    <w:rPr>
      <w:b/>
      <w:sz w:val="28"/>
    </w:rPr>
  </w:style>
  <w:style w:type="paragraph" w:styleId="684" w:customStyle="1">
    <w:name w:val="Détail"/>
    <w:basedOn w:val="678"/>
    <w:qFormat/>
  </w:style>
  <w:style w:type="paragraph" w:styleId="685" w:customStyle="1">
    <w:name w:val="Type de détail"/>
    <w:basedOn w:val="678"/>
    <w:next w:val="684"/>
    <w:qFormat/>
    <w:rPr>
      <w:b/>
      <w:u w:val="single"/>
    </w:rPr>
  </w:style>
  <w:style w:type="paragraph" w:styleId="686" w:customStyle="1">
    <w:name w:val="Enumeration arial 10 pts"/>
    <w:basedOn w:val="678"/>
    <w:qFormat/>
    <w:pPr>
      <w:numPr>
        <w:numId w:val="1"/>
      </w:numPr>
    </w:pPr>
  </w:style>
  <w:style w:type="paragraph" w:styleId="687" w:customStyle="1">
    <w:name w:val="align droite 2cm"/>
    <w:basedOn w:val="678"/>
    <w:qFormat/>
  </w:style>
  <w:style w:type="paragraph" w:styleId="688" w:customStyle="1">
    <w:name w:val="Adresse"/>
    <w:basedOn w:val="678"/>
    <w:qFormat/>
    <w:pPr>
      <w:ind w:left="5103"/>
    </w:pPr>
  </w:style>
  <w:style w:type="paragraph" w:styleId="689">
    <w:name w:val="Header"/>
    <w:basedOn w:val="678"/>
    <w:link w:val="690"/>
    <w:pPr>
      <w:tabs>
        <w:tab w:val="center" w:pos="4703" w:leader="none"/>
        <w:tab w:val="right" w:pos="9406" w:leader="none"/>
      </w:tabs>
    </w:pPr>
  </w:style>
  <w:style w:type="character" w:styleId="690" w:customStyle="1">
    <w:name w:val="Header Char"/>
    <w:basedOn w:val="679"/>
    <w:link w:val="689"/>
    <w:rPr>
      <w:rFonts w:hAnsi="Arial" w:eastAsia="Arial"/>
      <w:sz w:val="20"/>
    </w:rPr>
  </w:style>
  <w:style w:type="paragraph" w:styleId="691">
    <w:name w:val="Footer"/>
    <w:basedOn w:val="678"/>
    <w:link w:val="692"/>
    <w:pPr>
      <w:tabs>
        <w:tab w:val="center" w:pos="4703" w:leader="none"/>
        <w:tab w:val="right" w:pos="9406" w:leader="none"/>
      </w:tabs>
    </w:pPr>
  </w:style>
  <w:style w:type="character" w:styleId="692" w:customStyle="1">
    <w:name w:val="Footer Char"/>
    <w:basedOn w:val="679"/>
    <w:link w:val="691"/>
    <w:rPr>
      <w:rFonts w:hAnsi="Arial" w:eastAsia="Arial"/>
      <w:sz w:val="20"/>
    </w:rPr>
  </w:style>
  <w:style w:type="character" w:styleId="693">
    <w:name w:val="Default Paragraph Font PHPDOCX"/>
    <w:uiPriority w:val="1"/>
    <w:semiHidden/>
    <w:unhideWhenUsed/>
  </w:style>
  <w:style w:type="paragraph" w:styleId="694">
    <w:name w:val="List Paragraph PHPDOCX"/>
    <w:basedOn w:val="678"/>
    <w:uiPriority w:val="34"/>
    <w:qFormat/>
    <w:pPr>
      <w:contextualSpacing/>
      <w:ind w:left="720"/>
    </w:pPr>
  </w:style>
  <w:style w:type="paragraph" w:styleId="695">
    <w:name w:val="Title PHPDOCX"/>
    <w:basedOn w:val="678"/>
    <w:next w:val="678"/>
    <w:link w:val="696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96" w:customStyle="1">
    <w:name w:val="Title Car PHPDOCX"/>
    <w:basedOn w:val="693"/>
    <w:link w:val="695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697">
    <w:name w:val="Subtitle PHPDOCX"/>
    <w:basedOn w:val="678"/>
    <w:next w:val="678"/>
    <w:link w:val="698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698" w:customStyle="1">
    <w:name w:val="Subtitle Car PHPDOCX"/>
    <w:basedOn w:val="693"/>
    <w:link w:val="697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699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700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01">
    <w:name w:val="annotation reference PHPDOCX"/>
    <w:basedOn w:val="693"/>
    <w:uiPriority w:val="99"/>
    <w:semiHidden/>
    <w:unhideWhenUsed/>
    <w:rPr>
      <w:sz w:val="16"/>
      <w:szCs w:val="16"/>
    </w:rPr>
  </w:style>
  <w:style w:type="paragraph" w:styleId="702">
    <w:name w:val="annotation text PHPDOCX"/>
    <w:basedOn w:val="678"/>
    <w:link w:val="703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03" w:customStyle="1">
    <w:name w:val="Comment Text Char PHPDOCX"/>
    <w:basedOn w:val="693"/>
    <w:link w:val="702"/>
    <w:uiPriority w:val="99"/>
    <w:semiHidden/>
    <w:rPr>
      <w:sz w:val="20"/>
      <w:szCs w:val="20"/>
    </w:rPr>
  </w:style>
  <w:style w:type="paragraph" w:styleId="704">
    <w:name w:val="annotation subject PHPDOCX"/>
    <w:basedOn w:val="702"/>
    <w:next w:val="702"/>
    <w:link w:val="705"/>
    <w:uiPriority w:val="99"/>
    <w:semiHidden/>
    <w:unhideWhenUsed/>
    <w:rPr>
      <w:b/>
      <w:bCs/>
    </w:rPr>
  </w:style>
  <w:style w:type="character" w:styleId="705" w:customStyle="1">
    <w:name w:val="Comment Subject Char PHPDOCX"/>
    <w:basedOn w:val="703"/>
    <w:link w:val="704"/>
    <w:uiPriority w:val="99"/>
    <w:semiHidden/>
    <w:rPr>
      <w:b/>
      <w:bCs/>
      <w:sz w:val="20"/>
      <w:szCs w:val="20"/>
    </w:rPr>
  </w:style>
  <w:style w:type="paragraph" w:styleId="706">
    <w:name w:val="Balloon Text PHPDOCX"/>
    <w:basedOn w:val="678"/>
    <w:link w:val="70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07" w:customStyle="1">
    <w:name w:val="Balloon Text Char PHPDOCX"/>
    <w:basedOn w:val="693"/>
    <w:link w:val="706"/>
    <w:uiPriority w:val="99"/>
    <w:semiHidden/>
    <w:rPr>
      <w:rFonts w:ascii="Tahoma" w:hAnsi="Tahoma" w:cs="Tahoma"/>
      <w:sz w:val="16"/>
      <w:szCs w:val="16"/>
    </w:rPr>
  </w:style>
  <w:style w:type="paragraph" w:styleId="708">
    <w:name w:val="footnote Text PHPDOCX"/>
    <w:basedOn w:val="678"/>
    <w:link w:val="709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09" w:customStyle="1">
    <w:name w:val="footnote Text Car PHPDOCX"/>
    <w:basedOn w:val="693"/>
    <w:link w:val="708"/>
    <w:uiPriority w:val="99"/>
    <w:semiHidden/>
    <w:rPr>
      <w:sz w:val="20"/>
      <w:szCs w:val="20"/>
    </w:rPr>
  </w:style>
  <w:style w:type="character" w:styleId="710">
    <w:name w:val="footnote Reference PHPDOCX"/>
    <w:basedOn w:val="693"/>
    <w:uiPriority w:val="99"/>
    <w:semiHidden/>
    <w:unhideWhenUsed/>
    <w:rPr>
      <w:vertAlign w:val="superscript"/>
    </w:rPr>
  </w:style>
  <w:style w:type="paragraph" w:styleId="711">
    <w:name w:val="endnote Text PHPDOCX"/>
    <w:basedOn w:val="678"/>
    <w:link w:val="712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12" w:customStyle="1">
    <w:name w:val="endnote Text Car PHPDOCX"/>
    <w:basedOn w:val="693"/>
    <w:link w:val="711"/>
    <w:uiPriority w:val="99"/>
    <w:semiHidden/>
    <w:rPr>
      <w:sz w:val="20"/>
      <w:szCs w:val="20"/>
    </w:rPr>
  </w:style>
  <w:style w:type="character" w:styleId="713">
    <w:name w:val="endnote Reference PHPDOCX"/>
    <w:basedOn w:val="693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lefragu</cp:lastModifiedBy>
  <cp:revision>16</cp:revision>
  <dcterms:created xsi:type="dcterms:W3CDTF">2023-03-29T11:30:00Z</dcterms:created>
  <dcterms:modified xsi:type="dcterms:W3CDTF">2024-01-23T14:50:23Z</dcterms:modified>
</cp:coreProperties>
</file>