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225"/>
        <w:gridCol w:w="5715"/>
        <w:gridCol w:w="2266"/>
      </w:tblGrid>
      <w:tr>
        <w:trPr/>
        <w:tc>
          <w:tcPr>
            <w:shd w:val="clear" w:color="auto" w:fill="auto"/>
            <w:tcW w:w="2225" w:type="dxa"/>
            <w:vAlign w:val="top"/>
            <w:textDirection w:val="lrTb"/>
            <w:noWrap w:val="false"/>
          </w:tcPr>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945" cy="1139825"/>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945" cy="11398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5.3pt;height:89.8pt;mso-wrap-distance-left:0.0pt;mso-wrap-distance-top:0.0pt;mso-wrap-distance-right:0.0pt;mso-wrap-distance-bottom:0.0pt;" stroked="false">
                      <v:path textboxrect="0,0,0,0"/>
                      <v:imagedata r:id="rId11" o:title=""/>
                    </v:shape>
                  </w:pict>
                </mc:Fallback>
              </mc:AlternateContent>
            </w:r>
            <w:r/>
          </w:p>
        </w:tc>
        <w:tc>
          <w:tcPr>
            <w:shd w:val="clear" w:color="auto" w:fill="auto"/>
            <w:tcW w:w="5715" w:type="dxa"/>
            <w:vAlign w:val="top"/>
            <w:textDirection w:val="lrTb"/>
            <w:noWrap w:val="false"/>
          </w:tcPr>
          <w:p>
            <w:pPr>
              <w:pStyle w:val="669"/>
              <w:jc w:val="center"/>
              <w:rPr>
                <w:rFonts w:ascii="Garamond" w:hAnsi="Garamond" w:eastAsia="Garamond"/>
                <w:sz w:val="28"/>
              </w:rPr>
            </w:pPr>
            <w:r>
              <w:rPr>
                <w:rFonts w:ascii="Garamond" w:hAnsi="Garamond" w:eastAsia="Garamond"/>
                <w:b/>
                <w:sz w:val="36"/>
              </w:rPr>
              <w:t xml:space="preserve">Demeures en Périgord</w:t>
            </w:r>
            <w:r/>
          </w:p>
          <w:p>
            <w:pPr>
              <w:pStyle w:val="669"/>
              <w:jc w:val="center"/>
              <w:rPr>
                <w:rFonts w:ascii="Garamond" w:hAnsi="Garamond" w:eastAsia="Garamond"/>
                <w:sz w:val="6"/>
              </w:rPr>
            </w:pPr>
            <w:r>
              <w:rPr>
                <w:rFonts w:ascii="Garamond" w:hAnsi="Garamond" w:eastAsia="Garamond"/>
                <w:sz w:val="6"/>
              </w:rPr>
            </w:r>
            <w:r/>
          </w:p>
          <w:p>
            <w:pPr>
              <w:pStyle w:val="669"/>
              <w:jc w:val="center"/>
              <w:rPr>
                <w:rFonts w:ascii="Garamond" w:hAnsi="Garamond" w:eastAsia="Garamond"/>
                <w:sz w:val="22"/>
              </w:rPr>
            </w:pPr>
            <w:r>
              <w:rPr>
                <w:rFonts w:ascii="Garamond" w:hAnsi="Garamond" w:eastAsia="Garamond"/>
                <w:sz w:val="22"/>
              </w:rPr>
              <w:t xml:space="preserve">23, avenue de la Préhistoire</w:t>
            </w:r>
            <w:r/>
          </w:p>
          <w:p>
            <w:pPr>
              <w:pStyle w:val="669"/>
              <w:jc w:val="center"/>
              <w:rPr>
                <w:rFonts w:ascii="Garamond" w:hAnsi="Garamond" w:eastAsia="Garamond"/>
                <w:sz w:val="22"/>
              </w:rPr>
            </w:pPr>
            <w:r>
              <w:rPr>
                <w:rFonts w:ascii="Garamond" w:hAnsi="Garamond" w:eastAsia="Garamond"/>
                <w:sz w:val="22"/>
              </w:rPr>
              <w:t xml:space="preserve">24620    Les Eyzies</w:t>
            </w:r>
            <w:r/>
          </w:p>
          <w:p>
            <w:pPr>
              <w:pStyle w:val="669"/>
              <w:jc w:val="center"/>
              <w:rPr>
                <w:rFonts w:ascii="Garamond" w:hAnsi="Garamond" w:eastAsia="Garamond"/>
                <w:sz w:val="8"/>
              </w:rPr>
            </w:pPr>
            <w:r>
              <w:rPr>
                <w:rFonts w:ascii="Garamond" w:hAnsi="Garamond" w:eastAsia="Garamond"/>
                <w:sz w:val="8"/>
              </w:rPr>
            </w:r>
            <w:r/>
          </w:p>
          <w:p>
            <w:pPr>
              <w:pStyle w:val="669"/>
              <w:jc w:val="center"/>
              <w:rPr>
                <w:sz w:val="32"/>
              </w:rPr>
            </w:pPr>
            <w:r>
              <w:rPr>
                <w:rFonts w:ascii="Garamond" w:hAnsi="Garamond" w:eastAsia="Garamond"/>
                <w:b/>
                <w:sz w:val="28"/>
              </w:rPr>
              <w:t xml:space="preserve">05 53 06 97 44</w:t>
            </w:r>
            <w:r/>
          </w:p>
          <w:p>
            <w:pPr>
              <w:pStyle w:val="669"/>
              <w:jc w:val="center"/>
              <w:rPr>
                <w:sz w:val="16"/>
              </w:rPr>
            </w:pPr>
            <w:r>
              <w:rPr>
                <w:rFonts w:ascii="Garamond" w:hAnsi="Garamond" w:eastAsia="Garamond"/>
                <w:sz w:val="32"/>
              </w:rPr>
              <w:t xml:space="preserve">dperigord@orange.fr</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Garamond" w:hAnsi="Garamond" w:eastAsia="Garamond"/>
                <w:b/>
                <w:sz w:val="32"/>
              </w:rPr>
              <w:t xml:space="preserve">www.demeuresenperigord.com</w:t>
            </w:r>
            <w:r/>
          </w:p>
        </w:tc>
        <w:tc>
          <w:tcPr>
            <w:shd w:val="clear" w:color="auto" w:fill="auto"/>
            <w:tcW w:w="2266" w:type="dxa"/>
            <w:vAlign w:val="top"/>
            <w:textDirection w:val="lrTb"/>
            <w:noWrap w:val="false"/>
          </w:tcPr>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864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956310" cy="10864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5.5pt;mso-wrap-distance-left:0.0pt;mso-wrap-distance-top:0.0pt;mso-wrap-distance-right:0.0pt;mso-wrap-distance-bottom:0.0pt;" stroked="false">
                      <v:path textboxrect="0,0,0,0"/>
                      <v:imagedata r:id="rId12" o:title=""/>
                    </v:shape>
                  </w:pict>
                </mc:Fallback>
              </mc:AlternateContent>
            </w:r>
            <w:r/>
          </w:p>
        </w:tc>
      </w:tr>
      <w:tr>
        <w:trPr/>
        <w:tc>
          <w:tcPr>
            <w:gridSpan w:val="3"/>
            <w:shd w:val="clear" w:color="auto" w:fill="auto"/>
            <w:tcW w:w="10206" w:type="dxa"/>
            <w:vAlign w:val="top"/>
            <w:textDirection w:val="lrTb"/>
            <w:noWrap w:val="false"/>
          </w:tcPr>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16"/>
              </w:rPr>
              <w:t xml:space="preserve">TOUTES TRANSACTIONS IMMOBILIERES</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Garamond" w:hAnsi="Garamond" w:eastAsia="Garamond"/>
                <w:sz w:val="16"/>
              </w:rPr>
              <w:t xml:space="preserve">R.C.S. Bergerac - Carte professionnelle n°CPI 2402 2018 000 024 518, délivrée par la CCI de la Dordogne - Siret 80116987100010 - N°TVA : FR72801169871</w:t>
            </w:r>
            <w:r/>
          </w:p>
        </w:tc>
      </w:tr>
    </w:tbl>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color w:val="004389"/>
          <w:sz w:val="32"/>
        </w:rPr>
      </w:pPr>
      <w:r>
        <w:rPr>
          <w:rFonts w:ascii="Garamond" w:hAnsi="Garamond" w:eastAsia="Garamond"/>
          <w:b/>
          <w:color w:val="004389"/>
          <w:sz w:val="40"/>
        </w:rPr>
        <w:t xml:space="preserve">Mandat de vente Privilège -</w:t>
      </w:r>
      <w:r>
        <w:rPr>
          <w:rFonts w:ascii="Garamond" w:hAnsi="Garamond" w:eastAsia="Garamond"/>
          <w:b/>
          <w:color w:val="004389"/>
          <w:sz w:val="32"/>
        </w:rPr>
        <w:t xml:space="preserve"> N° 1011</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color w:val="004389"/>
          <w:sz w:val="16"/>
        </w:rPr>
      </w:pPr>
      <w:r>
        <w:rPr>
          <w:rFonts w:ascii="Garamond" w:hAnsi="Garamond" w:eastAsia="Garamond"/>
          <w:color w:val="004389"/>
          <w:sz w:val="24"/>
        </w:rPr>
        <w:t xml:space="preserve">(Avec faculté de rétractation)</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rPr>
      </w:pPr>
      <w:r>
        <w:rPr>
          <w:rFonts w:ascii="Times New Roman" w:hAnsi="Times New Roman" w:eastAsia="Times New Roman"/>
          <w:b/>
          <w:sz w:val="10"/>
        </w:rPr>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4"/>
        </w:rPr>
        <w:t xml:space="preserve">Nous soussignés :   </w:t>
      </w:r>
      <w:r>
        <w:rPr>
          <w:rFonts w:ascii="Garamond" w:hAnsi="Garamond" w:eastAsia="Garamond"/>
          <w:b/>
          <w:sz w:val="18"/>
        </w:rPr>
        <w:t xml:space="preserve">  </w:t>
      </w:r>
      <w:r>
        <w:rPr>
          <w:rFonts w:ascii="Garamond" w:hAnsi="Garamond" w:eastAsia="Garamond"/>
          <w:b/>
          <w:sz w:val="22"/>
          <w:shd w:val="clear" w:color="auto" w:fill="c0c0c0"/>
        </w:rPr>
        <w:t xml:space="preserve">     Monsieur et Madame  DUBOIS Christian et Denise</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rPr>
        <w:tab/>
        <w:tab/>
        <w:tab/>
      </w:r>
      <w:r>
        <w:rPr>
          <w:rFonts w:ascii="Garamond" w:hAnsi="Garamond" w:eastAsia="Garamond"/>
          <w:b/>
          <w:sz w:val="22"/>
          <w:shd w:val="clear" w:color="auto" w:fill="c0c0c0"/>
        </w:rPr>
        <w:t xml:space="preserve">       262 route des Chênes Verts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rPr>
        <w:tab/>
        <w:tab/>
        <w:tab/>
      </w:r>
      <w:r>
        <w:rPr>
          <w:rFonts w:ascii="Garamond" w:hAnsi="Garamond" w:eastAsia="Garamond"/>
          <w:b/>
          <w:sz w:val="22"/>
          <w:shd w:val="clear" w:color="auto" w:fill="c0c0c0"/>
        </w:rPr>
        <w:t xml:space="preserve">     24290 Sergeac</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rPr>
        <w:t xml:space="preserve">Agissant conjointement et sol</w:t>
      </w:r>
      <w:r>
        <w:rPr>
          <w:rFonts w:ascii="Garamond" w:hAnsi="Garamond" w:eastAsia="Garamond"/>
          <w:b/>
        </w:rPr>
        <w:t xml:space="preserve">idairement en qualité de seuls propriétaires, mandatons par la présente afin de rechercher un acquéreur et faire toutes les démarches en vue de vendre les biens et droits ci-dessous désignés et nous engageant à produire toutes justifications de propriété :</w:t>
      </w:r>
      <w:r/>
    </w:p>
    <w:p>
      <w:pPr>
        <w:pStyle w:val="67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w:t>
      </w:r>
      <w:r>
        <w:rPr>
          <w:rFonts w:ascii="Garamond" w:hAnsi="Garamond" w:eastAsia="Garamond"/>
          <w:sz w:val="20"/>
        </w:rPr>
        <w:t xml:space="preserve"> Préhistoire - 24620 Les Eyzies, titulaire de la carte professionnelle « transactions sur immeubles et fonds de commerce » n°CPI 2402 2018 000 024 518, délivrée par la CCI de la Dordogne, sans garantie financière (article 38 l de la loi 2010-853) - RCS Ber</w:t>
      </w:r>
      <w:r>
        <w:rPr>
          <w:rFonts w:ascii="Garamond" w:hAnsi="Garamond" w:eastAsia="Garamond"/>
          <w:sz w:val="20"/>
        </w:rPr>
        <w:t xml:space="preserve">gerac - RCP SEGAP COVERHOLDER AT LLOYD'S, avec substitution et délégation automatique au profit de l’ensemble des professionnels de l’immobilier adhérents au groupement immobilier Label Pierres ou au profit de tout professionnel spécifiquement sélectionné.</w:t>
      </w:r>
      <w:r/>
    </w:p>
    <w:p>
      <w:pPr>
        <w:pStyle w:val="67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4"/>
        </w:rPr>
        <w:t xml:space="preserve">1. Situation - Désignation :  </w:t>
      </w:r>
      <w:r>
        <w:rPr>
          <w:rFonts w:ascii="Garamond" w:hAnsi="Garamond" w:eastAsia="Garamond"/>
          <w:b/>
          <w:sz w:val="22"/>
          <w:shd w:val="clear" w:color="auto" w:fill="c0c0c0"/>
        </w:rPr>
        <w:t xml:space="preserve">    127 chemin de Chaillac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rPr>
        <w:tab/>
        <w:tab/>
        <w:tab/>
        <w:tab/>
      </w:r>
      <w:r>
        <w:rPr>
          <w:rFonts w:ascii="Garamond" w:hAnsi="Garamond" w:eastAsia="Garamond"/>
          <w:b/>
          <w:sz w:val="22"/>
          <w:shd w:val="clear" w:color="auto" w:fill="c0c0c0"/>
        </w:rPr>
        <w:t xml:space="preserve">  24290 SERGEAC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t xml:space="preserve">Description du bien :  Maison Ancienne avce dépendances et terrain.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t xml:space="preserve">Références cadastrales : section ZK n° 2, 3, 4, 8, 11 en partie et 16 pour une contenance totale d’environ 2ha 40a 00ca.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t xml:space="preserve">Référence de l'agence :   DEP0904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rPr>
      </w:pPr>
      <w:r>
        <w:rPr>
          <w:rFonts w:ascii="Garamond" w:hAnsi="Garamond" w:eastAsia="Garamond"/>
          <w:b/>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sz w:val="18"/>
        </w:rPr>
        <w:t xml:space="preserve"> </w:t>
      </w:r>
      <w:r>
        <w:rPr>
          <w:rFonts w:ascii="Garamond" w:hAnsi="Garamond" w:eastAsia="Garamond"/>
          <w:b/>
          <w:sz w:val="22"/>
          <w:shd w:val="clear" w:color="auto" w:fill="c0c0c0"/>
        </w:rPr>
        <w:t xml:space="preserve">  230 000 €    net vendeur </w:t>
      </w:r>
      <w:r>
        <w:rPr>
          <w:rFonts w:ascii="Garamond" w:hAnsi="Garamond" w:eastAsia="Garamond"/>
          <w:b/>
          <w:sz w:val="18"/>
          <w:shd w:val="clear" w:color="auto" w:fill="c0c0c0"/>
        </w:rPr>
        <w:t xml:space="preserve"> </w:t>
      </w:r>
      <w:r>
        <w:rPr>
          <w:rFonts w:ascii="Garamond" w:hAnsi="Garamond" w:eastAsia="Garamond"/>
        </w:rPr>
        <w:t xml:space="preserve"> payable comptant le jour de la signature de l'acte authentique, tant à l'aide de prêts que de fonds propres de l'acquéreur.</w:t>
      </w:r>
      <w:r/>
    </w:p>
    <w:p>
      <w:pPr>
        <w:pStyle w:val="670"/>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shd w:val="clear" w:color="auto" w:fill="c0c0c0"/>
        </w:rPr>
      </w:pPr>
      <w:r>
        <w:rPr>
          <w:rFonts w:ascii="Garamond" w:hAnsi="Garamond" w:eastAsia="Garamond"/>
          <w:b/>
          <w:sz w:val="24"/>
        </w:rPr>
        <w:t xml:space="preserve">3. Honoraires :</w:t>
      </w:r>
      <w:r>
        <w:rPr>
          <w:rFonts w:ascii="Garamond" w:hAnsi="Garamond" w:eastAsia="Garamond"/>
          <w:b/>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sz w:val="22"/>
          <w:shd w:val="clear" w:color="auto" w:fill="c0c0c0"/>
        </w:rPr>
        <w:t xml:space="preserve">  13 800 €   TTC </w:t>
      </w:r>
      <w:r>
        <w:rPr>
          <w:rFonts w:ascii="Garamond" w:hAnsi="Garamond" w:eastAsia="Garamond"/>
          <w:b/>
          <w:sz w:val="18"/>
          <w:shd w:val="clear" w:color="auto" w:fill="c0c0c0"/>
        </w:rPr>
        <w:t xml:space="preserve">  </w:t>
      </w:r>
      <w:r>
        <w:rPr>
          <w:rFonts w:ascii="Garamond" w:hAnsi="Garamond" w:eastAsia="Garamond"/>
          <w:b/>
          <w:sz w:val="22"/>
          <w:shd w:val="clear" w:color="auto" w:fill="c0c0c0"/>
        </w:rPr>
        <w:t xml:space="preserve">soit   6%.  </w:t>
      </w:r>
      <w:r>
        <w:rPr>
          <w:rFonts w:ascii="Garamond" w:hAnsi="Garamond" w:eastAsia="Garamond"/>
          <w:b/>
          <w:sz w:val="18"/>
          <w:shd w:val="clear" w:color="auto" w:fill="c0c0c0"/>
        </w:rPr>
        <w:t xml:space="preserve">      </w:t>
      </w:r>
      <w:r/>
    </w:p>
    <w:p>
      <w:pPr>
        <w:pStyle w:val="670"/>
      </w:pPr>
      <w:r>
        <w:rPr>
          <w:rFonts w:ascii="Garamond" w:hAnsi="Garamond" w:eastAsia="Garamond"/>
          <w:b/>
          <w:sz w:val="22"/>
          <w:shd w:val="clear" w:color="auto" w:fill="c0c0c0"/>
        </w:rPr>
        <w:t xml:space="preserve">Soit un prix affiché Honoraires d'agences inclus de 243 800 €  .</w:t>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r/>
    </w:p>
    <w:p>
      <w:pPr>
        <w:pStyle w:val="670"/>
        <w:jc w:val="both"/>
        <w:rPr>
          <w:rFonts w:ascii="Garamond" w:hAnsi="Garamond" w:eastAsia="Garamond"/>
          <w:b/>
          <w:sz w:val="18"/>
        </w:rPr>
      </w:pPr>
      <w:r>
        <w:rPr>
          <w:rFonts w:ascii="Garamond" w:hAnsi="Garamond" w:eastAsia="Garamond"/>
          <w:b/>
          <w:sz w:val="18"/>
        </w:rPr>
      </w:r>
      <w:r/>
    </w:p>
    <w:p>
      <w:pPr>
        <w:pStyle w:val="670"/>
        <w:jc w:val="both"/>
        <w:rPr>
          <w:rFonts w:ascii="Garamond" w:hAnsi="Garamond" w:eastAsia="Garamond"/>
          <w:sz w:val="18"/>
        </w:rPr>
      </w:pPr>
      <w:r>
        <w:rPr>
          <w:rFonts w:ascii="Garamond" w:hAnsi="Garamond" w:eastAsia="Garamond"/>
          <w:b/>
          <w:sz w:val="24"/>
        </w:rPr>
        <w:t xml:space="preserve">4. Durée du mandat :</w:t>
      </w:r>
      <w:r>
        <w:rPr>
          <w:rFonts w:ascii="Garamond" w:hAnsi="Garamond" w:eastAsia="Garamond"/>
          <w:b/>
        </w:rPr>
        <w:t xml:space="preserve"> </w:t>
      </w:r>
      <w:r>
        <w:rPr>
          <w:rFonts w:ascii="Garamond" w:hAnsi="Garamond" w:eastAsia="Garamond"/>
        </w:rPr>
        <w:t xml:space="preserve">Ce mandat vous est consenti pour une durée de vingt quatre (24) mois dont les trois premi</w:t>
      </w:r>
      <w:r>
        <w:rPr>
          <w:rFonts w:ascii="Garamond" w:hAnsi="Garamond" w:eastAsia="Garamond"/>
        </w:rPr>
        <w:t xml:space="preserve">ers mois sont irrévocables. Passée cette période d'irrévocabilité, il pourra être dénoncé à tout moment par chacune des parties, à charge pour celle qui entend y mettre fin d'en aviser l'autre partie quinze jours à l'avance par lettre recommandée avec A.R.</w:t>
      </w:r>
      <w:r/>
    </w:p>
    <w:p>
      <w:pPr>
        <w:pStyle w:val="670"/>
        <w:jc w:val="both"/>
        <w:rPr>
          <w:rFonts w:ascii="Garamond" w:hAnsi="Garamond" w:eastAsia="Garamond"/>
          <w:sz w:val="10"/>
        </w:rPr>
      </w:pPr>
      <w:r>
        <w:rPr>
          <w:rFonts w:ascii="Garamond" w:hAnsi="Garamond" w:eastAsia="Garamond"/>
          <w:sz w:val="14"/>
        </w:rPr>
        <w:t xml:space="preserve">Article L136-1 du code de la con</w:t>
      </w:r>
      <w:r>
        <w:rPr>
          <w:rFonts w:ascii="Garamond" w:hAnsi="Garamond" w:eastAsia="Garamond"/>
          <w:sz w:val="14"/>
        </w:rPr>
        <w:t xml:space="preserve">sommation modifié par la loi n°2014-344 du 17/03/2014 art.35. "Le professionnel prestataire de services informe le consommateur par écrit, par lettre nominative ou courrier électronique dédié, au plus tôt trois mois et au plus tard un mois avant le terme d</w:t>
      </w:r>
      <w:r>
        <w:rPr>
          <w:rFonts w:ascii="Garamond" w:hAnsi="Garamond" w:eastAsia="Garamond"/>
          <w:sz w:val="14"/>
        </w:rPr>
        <w:t xml:space="preserve">e la période autorisant le rejet de la reconduction, de la possibilité de ne pas reconduire le contrat qu'il a conclu avec une clause de reconduction tacite. Cette information, délivrée dans des termes clairs et compréhensibles, mentionne, dans un encadré </w:t>
      </w:r>
      <w:r>
        <w:rPr>
          <w:rFonts w:ascii="Garamond" w:hAnsi="Garamond" w:eastAsia="Garamond"/>
          <w:sz w:val="14"/>
        </w:rPr>
        <w:t xml:space="preserve">apparent, la date limite de résiliation. Lorsque cette information ne lui a pas été adréssée conformément aux dispositions du premier alinéa, le consommateur peut mettre gratuitement un terme au contrat, à tout moment à compter de la date de reconduction."</w:t>
      </w:r>
      <w:r/>
    </w:p>
    <w:p>
      <w:pPr>
        <w:pStyle w:val="670"/>
        <w:jc w:val="both"/>
        <w:rPr>
          <w:rFonts w:ascii="Garamond" w:hAnsi="Garamond" w:eastAsia="Garamond"/>
          <w:b/>
          <w:sz w:val="18"/>
        </w:rPr>
      </w:pPr>
      <w:r>
        <w:rPr>
          <w:rFonts w:ascii="Garamond" w:hAnsi="Garamond" w:eastAsia="Garamond"/>
          <w:b/>
          <w:sz w:val="18"/>
        </w:rPr>
      </w:r>
      <w:r/>
    </w:p>
    <w:p>
      <w:pPr>
        <w:pStyle w:val="670"/>
        <w:jc w:val="both"/>
        <w:rPr>
          <w:rFonts w:ascii="Garamond" w:hAnsi="Garamond" w:eastAsia="Garamond"/>
          <w:b/>
          <w:sz w:val="22"/>
          <w:shd w:val="clear" w:color="auto" w:fill="c0c0c0"/>
        </w:rPr>
      </w:pPr>
      <w:r>
        <w:rPr>
          <w:rFonts w:ascii="Garamond" w:hAnsi="Garamond" w:eastAsia="Garamond"/>
          <w:b/>
          <w:sz w:val="24"/>
        </w:rPr>
        <w:t xml:space="preserve">5. Conditions particulières : </w:t>
      </w:r>
      <w:r/>
    </w:p>
    <w:p>
      <w:pPr>
        <w:pStyle w:val="670"/>
        <w:jc w:val="both"/>
        <w:rPr>
          <w:rFonts w:ascii="Garamond" w:hAnsi="Garamond" w:eastAsia="Garamond"/>
          <w:b/>
        </w:rPr>
      </w:pPr>
      <w:r>
        <w:rPr>
          <w:rFonts w:ascii="Garamond" w:hAnsi="Garamond" w:eastAsia="Garamond"/>
          <w:b/>
        </w:rPr>
        <w:t xml:space="preserve">- Le présent mandat PRIVILEGE n'est pas un mandat exclusif, c'est un mandat excluant toute autre agence immobilière mais permettant au mandant de vendre personnellement, de particulier à particulier. </w:t>
      </w:r>
      <w:r/>
    </w:p>
    <w:p>
      <w:pPr>
        <w:pStyle w:val="670"/>
        <w:jc w:val="both"/>
        <w:rPr>
          <w:rFonts w:ascii="Garamond" w:hAnsi="Garamond" w:eastAsia="Garamond"/>
          <w:b/>
        </w:rPr>
      </w:pPr>
      <w:r>
        <w:rPr>
          <w:rFonts w:ascii="Garamond" w:hAnsi="Garamond" w:eastAsia="Garamond"/>
          <w:b/>
          <w:sz w:val="22"/>
          <w:shd w:val="clear" w:color="auto" w:fill="c0c0c0"/>
        </w:rPr>
        <w:t xml:space="preserve">- </w:t>
      </w:r>
      <w:r>
        <w:rPr>
          <w:rFonts w:ascii="Garamond" w:hAnsi="Garamond" w:eastAsia="Garamond"/>
          <w:shd w:val="clear" w:color="auto" w:fill="c0c0c0"/>
        </w:rPr>
        <w:t xml:space="preserve">Autre condition :</w:t>
      </w:r>
      <w:r>
        <w:rPr>
          <w:rFonts w:ascii="Garamond" w:hAnsi="Garamond" w:eastAsia="Garamond"/>
          <w:b/>
          <w:sz w:val="22"/>
          <w:shd w:val="clear" w:color="auto" w:fill="c0c0c0"/>
        </w:rPr>
        <w:t xml:space="preserve">                                                                                          </w:t>
      </w:r>
      <w:r>
        <w:rPr>
          <w:rFonts w:ascii="Garamond" w:hAnsi="Garamond" w:eastAsia="Garamond"/>
          <w:b/>
          <w:sz w:val="22"/>
          <w:shd w:val="clear" w:color="auto" w:fill="c0c0c0"/>
        </w:rPr>
        <w:t xml:space="preserve">                                                                                                                                                                                                                                                                </w:t>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rPr>
        <w:t xml:space="preserve">6. Surface habitable (si copropriété 'Loi Carrez') : </w:t>
      </w:r>
      <w:r>
        <w:rPr>
          <w:rFonts w:ascii="Garamond" w:hAnsi="Garamond" w:eastAsia="Garamond"/>
          <w:b/>
          <w:sz w:val="22"/>
          <w:shd w:val="clear" w:color="auto" w:fill="c0c0c0"/>
        </w:rPr>
        <w:t xml:space="preserve">    Bien non concerné   </w:t>
      </w:r>
      <w:r/>
    </w:p>
    <w:p>
      <w:pPr>
        <w:pStyle w:val="670"/>
        <w:jc w:val="both"/>
        <w:rPr>
          <w:rFonts w:ascii="Times New Roman" w:hAnsi="Times New Roman" w:eastAsia="Times New Roman"/>
          <w:b/>
        </w:rPr>
      </w:pPr>
      <w:r>
        <w:rPr>
          <w:rFonts w:ascii="Times New Roman" w:hAnsi="Times New Roman" w:eastAsia="Times New Roman"/>
          <w:b/>
        </w:rPr>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0"/>
          <w:shd w:val="clear" w:color="auto" w:fill="c0c0c0"/>
        </w:rPr>
      </w:pPr>
      <w:r>
        <w:rPr>
          <w:rFonts w:ascii="Garamond" w:hAnsi="Garamond" w:eastAsia="Garamond"/>
          <w:b/>
          <w:sz w:val="10"/>
          <w:shd w:val="clear" w:color="auto" w:fill="c0c0c0"/>
        </w:rPr>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r>
      <w:r/>
    </w:p>
    <w:p>
      <w:pPr>
        <w:pStyle w:val="670"/>
        <w:rPr>
          <w:rFonts w:ascii="Garamond" w:hAnsi="Garamond" w:eastAsia="Garamond"/>
        </w:rPr>
      </w:pPr>
      <w:r>
        <w:rPr>
          <w:rFonts w:ascii="Garamond" w:hAnsi="Garamond" w:eastAsia="Garamond"/>
          <w:highlight w:val="none"/>
        </w:rPr>
      </w:r>
      <w:r>
        <w:rPr>
          <w:rFonts w:ascii="Garamond" w:hAnsi="Garamond" w:eastAsia="Garamond"/>
          <w:highlight w:val="none"/>
        </w:rPr>
      </w:r>
    </w:p>
    <w:p>
      <w:pPr>
        <w:pStyle w:val="670"/>
        <w:rPr>
          <w:rFonts w:ascii="Garamond" w:hAnsi="Garamond" w:eastAsia="Garamond"/>
          <w:highlight w:val="none"/>
        </w:rPr>
      </w:pPr>
      <w:r>
        <w:rPr>
          <w:rFonts w:ascii="Garamond" w:hAnsi="Garamond" w:eastAsia="Garamond"/>
          <w:highlight w:val="none"/>
        </w:rPr>
      </w:r>
      <w:r>
        <w:rPr>
          <w:rFonts w:ascii="Garamond" w:hAnsi="Garamond" w:eastAsia="Garamond"/>
          <w:highlight w:val="none"/>
        </w:rPr>
      </w:r>
    </w:p>
    <w:p>
      <w:pPr>
        <w:pStyle w:val="670"/>
        <w:rPr>
          <w:rFonts w:ascii="Garamond" w:hAnsi="Garamond" w:eastAsia="Garamond"/>
          <w:highlight w:val="none"/>
        </w:rPr>
      </w:pPr>
      <w:r>
        <w:rPr>
          <w:rFonts w:ascii="Garamond" w:hAnsi="Garamond" w:eastAsia="Garamond"/>
          <w:b/>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w:t>
      </w:r>
      <w:r>
        <w:rPr>
          <w:rFonts w:ascii="Garamond" w:hAnsi="Garamond" w:eastAsia="Garamond"/>
        </w:rPr>
        <w:t xml:space="preserve">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r/>
    </w:p>
    <w:p>
      <w:pPr>
        <w:pStyle w:val="670"/>
      </w:pPr>
      <w:r/>
      <w:r/>
    </w:p>
    <w:p>
      <w:pPr>
        <w:pStyle w:val="670"/>
        <w:jc w:val="center"/>
      </w:pPr>
      <w:r>
        <mc:AlternateContent>
          <mc:Choice Requires="wpg">
            <w:drawing>
              <wp:inline xmlns:wp="http://schemas.openxmlformats.org/drawingml/2006/wordprocessingDrawing" distT="0" distB="0" distL="0" distR="0">
                <wp:extent cx="664210" cy="755015"/>
                <wp:effectExtent l="0" t="0" r="0" b="0"/>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3"/>
                        <a:stretch/>
                      </pic:blipFill>
                      <pic:spPr bwMode="auto">
                        <a:xfrm>
                          <a:off x="0" y="0"/>
                          <a:ext cx="664210" cy="75501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52.3pt;height:59.4pt;mso-wrap-distance-left:0.0pt;mso-wrap-distance-top:0.0pt;mso-wrap-distance-right:0.0pt;mso-wrap-distance-bottom:0.0pt;" stroked="false">
                <v:path textboxrect="0,0,0,0"/>
                <v:imagedata r:id="rId13" o:title=""/>
              </v:shape>
            </w:pict>
          </mc:Fallback>
        </mc:AlternateContent>
      </w:r>
      <w:r>
        <w:t xml:space="preserve">  </w:t>
      </w:r>
      <w:r>
        <mc:AlternateContent>
          <mc:Choice Requires="wpg">
            <w:drawing>
              <wp:inline xmlns:wp="http://schemas.openxmlformats.org/drawingml/2006/wordprocessingDrawing" distT="0" distB="0" distL="0" distR="0">
                <wp:extent cx="666750" cy="791845"/>
                <wp:effectExtent l="0" t="0" r="0" b="0"/>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4"/>
                        <a:stretch/>
                      </pic:blipFill>
                      <pic:spPr bwMode="auto">
                        <a:xfrm>
                          <a:off x="0" y="0"/>
                          <a:ext cx="666750" cy="79184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52.5pt;height:62.3pt;mso-wrap-distance-left:0.0pt;mso-wrap-distance-top:0.0pt;mso-wrap-distance-right:0.0pt;mso-wrap-distance-bottom:0.0pt;" stroked="false">
                <v:path textboxrect="0,0,0,0"/>
                <v:imagedata r:id="rId14" o:title=""/>
              </v:shape>
            </w:pict>
          </mc:Fallback>
        </mc:AlternateContent>
      </w:r>
      <w:r>
        <mc:AlternateContent>
          <mc:Choice Requires="wpg">
            <w:drawing>
              <wp:inline xmlns:wp="http://schemas.openxmlformats.org/drawingml/2006/wordprocessingDrawing" distT="0" distB="0" distL="0" distR="0">
                <wp:extent cx="1088390" cy="421005"/>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5"/>
                        <a:stretch/>
                      </pic:blipFill>
                      <pic:spPr bwMode="auto">
                        <a:xfrm>
                          <a:off x="0" y="0"/>
                          <a:ext cx="1088390" cy="42100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85.7pt;height:33.1pt;mso-wrap-distance-left:0.0pt;mso-wrap-distance-top:0.0pt;mso-wrap-distance-right:0.0pt;mso-wrap-distance-bottom:0.0pt;" stroked="false">
                <v:path textboxrect="0,0,0,0"/>
                <v:imagedata r:id="rId15" o:title=""/>
              </v:shape>
            </w:pict>
          </mc:Fallback>
        </mc:AlternateContent>
      </w:r>
      <w:r>
        <mc:AlternateContent>
          <mc:Choice Requires="wpg">
            <w:drawing>
              <wp:inline xmlns:wp="http://schemas.openxmlformats.org/drawingml/2006/wordprocessingDrawing" distT="0" distB="0" distL="0" distR="0">
                <wp:extent cx="742950" cy="695325"/>
                <wp:effectExtent l="0" t="0" r="0" b="0"/>
                <wp:docPr id="6" name="_tx_id_5_"/>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6"/>
                        <a:stretch/>
                      </pic:blipFill>
                      <pic:spPr bwMode="auto">
                        <a:xfrm>
                          <a:off x="0" y="0"/>
                          <a:ext cx="742950" cy="6953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58.5pt;height:54.8pt;mso-wrap-distance-left:0.0pt;mso-wrap-distance-top:0.0pt;mso-wrap-distance-right:0.0pt;mso-wrap-distance-bottom:0.0pt;" stroked="false">
                <v:path textboxrect="0,0,0,0"/>
                <v:imagedata r:id="rId16" o:title=""/>
              </v:shape>
            </w:pict>
          </mc:Fallback>
        </mc:AlternateContent>
      </w:r>
      <w:r>
        <mc:AlternateContent>
          <mc:Choice Requires="wpg">
            <w:drawing>
              <wp:inline xmlns:wp="http://schemas.openxmlformats.org/drawingml/2006/wordprocessingDrawing" distT="0" distB="0" distL="0" distR="0">
                <wp:extent cx="1061085" cy="629920"/>
                <wp:effectExtent l="0" t="0" r="0" b="0"/>
                <wp:docPr id="7" name="_tx_id_6_"/>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7"/>
                        <a:stretch/>
                      </pic:blipFill>
                      <pic:spPr bwMode="auto">
                        <a:xfrm>
                          <a:off x="0" y="0"/>
                          <a:ext cx="1061085" cy="6299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83.5pt;height:49.6pt;mso-wrap-distance-left:0.0pt;mso-wrap-distance-top:0.0pt;mso-wrap-distance-right:0.0pt;mso-wrap-distance-bottom:0.0pt;" stroked="false">
                <v:path textboxrect="0,0,0,0"/>
                <v:imagedata r:id="rId17" o:title=""/>
              </v:shape>
            </w:pict>
          </mc:Fallback>
        </mc:AlternateContent>
      </w:r>
      <w:r>
        <w:t xml:space="preserve">   </w:t>
      </w:r>
      <w:r>
        <mc:AlternateContent>
          <mc:Choice Requires="wpg">
            <w:drawing>
              <wp:inline xmlns:wp="http://schemas.openxmlformats.org/drawingml/2006/wordprocessingDrawing" distT="0" distB="0" distL="0" distR="0">
                <wp:extent cx="977265" cy="465455"/>
                <wp:effectExtent l="0" t="0" r="0" b="0"/>
                <wp:docPr id="8" name="_tx_id_7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8"/>
                        <a:stretch/>
                      </pic:blipFill>
                      <pic:spPr bwMode="auto">
                        <a:xfrm>
                          <a:off x="0" y="0"/>
                          <a:ext cx="977265" cy="46545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77.0pt;height:36.6pt;mso-wrap-distance-left:0.0pt;mso-wrap-distance-top:0.0pt;mso-wrap-distance-right:0.0pt;mso-wrap-distance-bottom:0.0pt;" stroked="false">
                <v:path textboxrect="0,0,0,0"/>
                <v:imagedata r:id="rId18" o:title=""/>
              </v:shape>
            </w:pict>
          </mc:Fallback>
        </mc:AlternateContent>
      </w:r>
      <w:r>
        <w:t xml:space="preserve">  </w:t>
      </w:r>
      <w:r>
        <mc:AlternateContent>
          <mc:Choice Requires="wpg">
            <w:drawing>
              <wp:inline xmlns:wp="http://schemas.openxmlformats.org/drawingml/2006/wordprocessingDrawing" distT="0" distB="0" distL="0" distR="0">
                <wp:extent cx="845820" cy="257175"/>
                <wp:effectExtent l="0" t="0" r="0" b="0"/>
                <wp:docPr id="9" name="_tx_id_8_"/>
                <wp:cNvGraphicFramePr/>
                <a:graphic xmlns:a="http://schemas.openxmlformats.org/drawingml/2006/main">
                  <a:graphicData uri="http://schemas.openxmlformats.org/drawingml/2006/picture">
                    <pic:pic xmlns:pic="http://schemas.openxmlformats.org/drawingml/2006/picture">
                      <pic:nvPicPr>
                        <pic:cNvPr id="0" name="Image 9"/>
                        <pic:cNvPicPr/>
                        <pic:nvPr/>
                      </pic:nvPicPr>
                      <pic:blipFill>
                        <a:blip r:embed="rId19"/>
                        <a:stretch/>
                      </pic:blipFill>
                      <pic:spPr bwMode="auto">
                        <a:xfrm>
                          <a:off x="0" y="0"/>
                          <a:ext cx="845820" cy="2571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66.6pt;height:20.2pt;mso-wrap-distance-left:0.0pt;mso-wrap-distance-top:0.0pt;mso-wrap-distance-right:0.0pt;mso-wrap-distance-bottom:0.0pt;" stroked="false">
                <v:path textboxrect="0,0,0,0"/>
                <v:imagedata r:id="rId19" o:title=""/>
              </v:shape>
            </w:pict>
          </mc:Fallback>
        </mc:AlternateContent>
      </w:r>
      <w:r/>
    </w:p>
    <w:p>
      <w:pPr>
        <w:pStyle w:val="670"/>
        <w:jc w:val="center"/>
      </w:pPr>
      <w:r>
        <mc:AlternateContent>
          <mc:Choice Requires="wpg">
            <w:drawing>
              <wp:inline xmlns:wp="http://schemas.openxmlformats.org/drawingml/2006/wordprocessingDrawing" distT="0" distB="0" distL="0" distR="0">
                <wp:extent cx="723900" cy="589915"/>
                <wp:effectExtent l="0" t="0" r="0" b="0"/>
                <wp:docPr id="10" name="_tx_id_9_"/>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20"/>
                        <a:stretch/>
                      </pic:blipFill>
                      <pic:spPr bwMode="auto">
                        <a:xfrm>
                          <a:off x="0" y="0"/>
                          <a:ext cx="723900" cy="58991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57.0pt;height:46.4pt;mso-wrap-distance-left:0.0pt;mso-wrap-distance-top:0.0pt;mso-wrap-distance-right:0.0pt;mso-wrap-distance-bottom:0.0pt;" stroked="false">
                <v:path textboxrect="0,0,0,0"/>
                <v:imagedata r:id="rId20" o:title=""/>
              </v:shape>
            </w:pict>
          </mc:Fallback>
        </mc:AlternateContent>
      </w:r>
      <w:r>
        <w:t xml:space="preserve">  </w:t>
      </w:r>
      <w:r/>
      <w:r>
        <mc:AlternateContent>
          <mc:Choice Requires="wpg">
            <w:drawing>
              <wp:inline xmlns:wp="http://schemas.openxmlformats.org/drawingml/2006/wordprocessingDrawing" distT="0" distB="0" distL="0" distR="0">
                <wp:extent cx="1038225" cy="471170"/>
                <wp:effectExtent l="0" t="0" r="0" b="0"/>
                <wp:docPr id="11" name="_tx_id_11_"/>
                <wp:cNvGraphicFramePr/>
                <a:graphic xmlns:a="http://schemas.openxmlformats.org/drawingml/2006/main">
                  <a:graphicData uri="http://schemas.openxmlformats.org/drawingml/2006/picture">
                    <pic:pic xmlns:pic="http://schemas.openxmlformats.org/drawingml/2006/picture">
                      <pic:nvPicPr>
                        <pic:cNvPr id="0" name="Image 12"/>
                        <pic:cNvPicPr/>
                        <pic:nvPr/>
                      </pic:nvPicPr>
                      <pic:blipFill>
                        <a:blip r:embed="rId21"/>
                        <a:stretch/>
                      </pic:blipFill>
                      <pic:spPr bwMode="auto">
                        <a:xfrm>
                          <a:off x="0" y="0"/>
                          <a:ext cx="1038225" cy="47117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81.8pt;height:37.1pt;mso-wrap-distance-left:0.0pt;mso-wrap-distance-top:0.0pt;mso-wrap-distance-right:0.0pt;mso-wrap-distance-bottom:0.0pt;" stroked="false">
                <v:path textboxrect="0,0,0,0"/>
                <v:imagedata r:id="rId21" o:title=""/>
              </v:shape>
            </w:pict>
          </mc:Fallback>
        </mc:AlternateContent>
      </w:r>
      <w:r>
        <w:t xml:space="preserve">  </w:t>
      </w:r>
      <w:r>
        <mc:AlternateContent>
          <mc:Choice Requires="wpg">
            <w:drawing>
              <wp:inline xmlns:wp="http://schemas.openxmlformats.org/drawingml/2006/wordprocessingDrawing" distT="0" distB="0" distL="0" distR="0">
                <wp:extent cx="594995" cy="594995"/>
                <wp:effectExtent l="0" t="0" r="0" b="0"/>
                <wp:docPr id="12" name="_tx_id_12_"/>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22"/>
                        <a:stretch/>
                      </pic:blipFill>
                      <pic:spPr bwMode="auto">
                        <a:xfrm>
                          <a:off x="0" y="0"/>
                          <a:ext cx="594995" cy="59499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46.8pt;height:46.8pt;mso-wrap-distance-left:0.0pt;mso-wrap-distance-top:0.0pt;mso-wrap-distance-right:0.0pt;mso-wrap-distance-bottom:0.0pt;" stroked="false">
                <v:path textboxrect="0,0,0,0"/>
                <v:imagedata r:id="rId22" o:title=""/>
              </v:shape>
            </w:pict>
          </mc:Fallback>
        </mc:AlternateContent>
      </w:r>
      <w:r>
        <w:t xml:space="preserve">  </w:t>
      </w:r>
      <w:r>
        <mc:AlternateContent>
          <mc:Choice Requires="wpg">
            <w:drawing>
              <wp:inline xmlns:wp="http://schemas.openxmlformats.org/drawingml/2006/wordprocessingDrawing" distT="0" distB="0" distL="0" distR="0">
                <wp:extent cx="748030" cy="726440"/>
                <wp:effectExtent l="0" t="0" r="0" b="0"/>
                <wp:docPr id="13" name="_tx_id_13_"/>
                <wp:cNvGraphicFramePr/>
                <a:graphic xmlns:a="http://schemas.openxmlformats.org/drawingml/2006/main">
                  <a:graphicData uri="http://schemas.openxmlformats.org/drawingml/2006/picture">
                    <pic:pic xmlns:pic="http://schemas.openxmlformats.org/drawingml/2006/picture">
                      <pic:nvPicPr>
                        <pic:cNvPr id="0" name="Image 14"/>
                        <pic:cNvPicPr/>
                        <pic:nvPr/>
                      </pic:nvPicPr>
                      <pic:blipFill>
                        <a:blip r:embed="rId23"/>
                        <a:stretch/>
                      </pic:blipFill>
                      <pic:spPr bwMode="auto">
                        <a:xfrm>
                          <a:off x="0" y="0"/>
                          <a:ext cx="748030" cy="7264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58.9pt;height:57.2pt;mso-wrap-distance-left:0.0pt;mso-wrap-distance-top:0.0pt;mso-wrap-distance-right:0.0pt;mso-wrap-distance-bottom:0.0pt;" stroked="false">
                <v:path textboxrect="0,0,0,0"/>
                <v:imagedata r:id="rId23" o:title=""/>
              </v:shape>
            </w:pict>
          </mc:Fallback>
        </mc:AlternateContent>
      </w:r>
      <w:r>
        <mc:AlternateContent>
          <mc:Choice Requires="wpg">
            <w:drawing>
              <wp:inline xmlns:wp="http://schemas.openxmlformats.org/drawingml/2006/wordprocessingDrawing" distT="0" distB="0" distL="0" distR="0">
                <wp:extent cx="624205" cy="624205"/>
                <wp:effectExtent l="0" t="0" r="0" b="0"/>
                <wp:docPr id="14" name="_tx_id_14_"/>
                <wp:cNvGraphicFramePr/>
                <a:graphic xmlns:a="http://schemas.openxmlformats.org/drawingml/2006/main">
                  <a:graphicData uri="http://schemas.openxmlformats.org/drawingml/2006/picture">
                    <pic:pic xmlns:pic="http://schemas.openxmlformats.org/drawingml/2006/picture">
                      <pic:nvPicPr>
                        <pic:cNvPr id="0" name="Image 15"/>
                        <pic:cNvPicPr/>
                        <pic:nvPr/>
                      </pic:nvPicPr>
                      <pic:blipFill>
                        <a:blip r:embed="rId24"/>
                        <a:stretch/>
                      </pic:blipFill>
                      <pic:spPr bwMode="auto">
                        <a:xfrm>
                          <a:off x="0" y="0"/>
                          <a:ext cx="624204" cy="62420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49.1pt;height:49.1pt;mso-wrap-distance-left:0.0pt;mso-wrap-distance-top:0.0pt;mso-wrap-distance-right:0.0pt;mso-wrap-distance-bottom:0.0pt;" stroked="false">
                <v:path textboxrect="0,0,0,0"/>
                <v:imagedata r:id="rId24" o:title=""/>
              </v:shape>
            </w:pict>
          </mc:Fallback>
        </mc:AlternateContent>
      </w:r>
      <w:r>
        <w:t xml:space="preserve">  </w:t>
      </w:r>
      <w:r>
        <mc:AlternateContent>
          <mc:Choice Requires="wpg">
            <w:drawing>
              <wp:inline xmlns:wp="http://schemas.openxmlformats.org/drawingml/2006/wordprocessingDrawing" distT="0" distB="0" distL="0" distR="0">
                <wp:extent cx="624205" cy="739140"/>
                <wp:effectExtent l="0" t="0" r="0" b="0"/>
                <wp:docPr id="15" name="_tx_id_15_"/>
                <wp:cNvGraphicFramePr/>
                <a:graphic xmlns:a="http://schemas.openxmlformats.org/drawingml/2006/main">
                  <a:graphicData uri="http://schemas.openxmlformats.org/drawingml/2006/picture">
                    <pic:pic xmlns:pic="http://schemas.openxmlformats.org/drawingml/2006/picture">
                      <pic:nvPicPr>
                        <pic:cNvPr id="0" name="Image 16"/>
                        <pic:cNvPicPr/>
                        <pic:nvPr/>
                      </pic:nvPicPr>
                      <pic:blipFill>
                        <a:blip r:embed="rId25"/>
                        <a:stretch/>
                      </pic:blipFill>
                      <pic:spPr bwMode="auto">
                        <a:xfrm>
                          <a:off x="0" y="0"/>
                          <a:ext cx="624204" cy="7391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49.1pt;height:58.2pt;mso-wrap-distance-left:0.0pt;mso-wrap-distance-top:0.0pt;mso-wrap-distance-right:0.0pt;mso-wrap-distance-bottom:0.0pt;" stroked="false">
                <v:path textboxrect="0,0,0,0"/>
                <v:imagedata r:id="rId25" o:title=""/>
              </v:shape>
            </w:pict>
          </mc:Fallback>
        </mc:AlternateContent>
      </w:r>
      <w:r>
        <w:t xml:space="preserve"> </w:t>
      </w:r>
      <w:r/>
    </w:p>
    <w:p>
      <w:pPr>
        <w:pStyle w:val="670"/>
        <w:rPr>
          <w:rFonts w:ascii="Garamond" w:hAnsi="Garamond" w:eastAsia="Garamond"/>
          <w:sz w:val="18"/>
        </w:rPr>
      </w:pPr>
      <w:r>
        <w:rPr>
          <w:rFonts w:ascii="Garamond" w:hAnsi="Garamond" w:eastAsia="Garamond"/>
          <w:sz w:val="18"/>
        </w:rPr>
      </w:r>
      <w:r/>
    </w:p>
    <w:p>
      <w:pPr>
        <w:pStyle w:val="670"/>
        <w:rPr>
          <w:rFonts w:ascii="Garamond" w:hAnsi="Garamond" w:eastAsia="Garamond"/>
        </w:rPr>
      </w:pPr>
      <w:r>
        <w:rPr>
          <w:rFonts w:ascii="Garamond" w:hAnsi="Garamond" w:eastAsia="Garamond"/>
          <w:b/>
          <w:sz w:val="24"/>
        </w:rPr>
        <w:t xml:space="preserve">8. Plus-value et T.V.A. :</w:t>
      </w:r>
      <w:r>
        <w:rPr>
          <w:rFonts w:ascii="Garamond" w:hAnsi="Garamond" w:eastAsia="Garamond"/>
          <w:b/>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70"/>
        <w:rPr>
          <w:rFonts w:ascii="Garamond" w:hAnsi="Garamond" w:eastAsia="Garamond"/>
          <w:sz w:val="18"/>
        </w:rPr>
      </w:pPr>
      <w:r>
        <w:rPr>
          <w:rFonts w:ascii="Garamond" w:hAnsi="Garamond" w:eastAsia="Garamond"/>
          <w:sz w:val="18"/>
        </w:rPr>
      </w:r>
      <w:r/>
    </w:p>
    <w:p>
      <w:pPr>
        <w:pStyle w:val="670"/>
        <w:jc w:val="both"/>
        <w:rPr>
          <w:rFonts w:ascii="Garamond" w:hAnsi="Garamond" w:eastAsia="Garamond"/>
        </w:rPr>
      </w:pPr>
      <w:r>
        <w:rPr>
          <w:rFonts w:ascii="Garamond" w:hAnsi="Garamond" w:eastAsia="Garamond"/>
          <w:b/>
          <w:sz w:val="24"/>
        </w:rPr>
        <w:t xml:space="preserve">9. Pouvoirs du mandataire :</w:t>
      </w:r>
      <w:r>
        <w:rPr>
          <w:rFonts w:ascii="Garamond" w:hAnsi="Garamond" w:eastAsia="Garamond"/>
          <w:b/>
        </w:rPr>
        <w:t xml:space="preserve"> </w:t>
      </w:r>
      <w:r>
        <w:rPr>
          <w:rFonts w:ascii="Garamond" w:hAnsi="Garamond" w:eastAsia="Garamond"/>
        </w:rPr>
        <w:t xml:space="preserve">En considération du mandat présentement accordé, tous pouvoirs vous sont donnés pour mener à bien votre mission. Vous pourrez notamment :</w:t>
      </w:r>
      <w:r/>
    </w:p>
    <w:p>
      <w:pPr>
        <w:pStyle w:val="670"/>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w:t>
      </w:r>
      <w:r>
        <w:rPr>
          <w:rFonts w:ascii="Garamond" w:hAnsi="Garamond" w:eastAsia="Garamond"/>
        </w:rPr>
        <w:t xml:space="preserve">os frais seulement,  apposer un panneau de mise en vente à l'endroit que vous jugerez le plus approprié et publier toute photographie. Le mandant pourra exercer son droit d'accès et de rectification conformément à l'article 27 de la loi du 6 janvier 1978. </w:t>
      </w:r>
      <w:r/>
    </w:p>
    <w:p>
      <w:pPr>
        <w:pStyle w:val="670"/>
        <w:jc w:val="both"/>
        <w:rPr>
          <w:rFonts w:ascii="Garamond" w:hAnsi="Garamond" w:eastAsia="Garamond"/>
        </w:rPr>
      </w:pPr>
      <w:r>
        <w:rPr>
          <w:rFonts w:ascii="Garamond" w:hAnsi="Garamond" w:eastAsia="Garamond"/>
          <w:b/>
        </w:rPr>
        <w:t xml:space="preserve">Le bien ne pourra faire l'objet d'une campagne publicitaire publique qu'à compter de la transmission au mandataire du DPE.</w:t>
      </w:r>
      <w:r/>
    </w:p>
    <w:p>
      <w:pPr>
        <w:pStyle w:val="670"/>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r/>
    </w:p>
    <w:p>
      <w:pPr>
        <w:pStyle w:val="670"/>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r/>
    </w:p>
    <w:p>
      <w:pPr>
        <w:pStyle w:val="670"/>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r/>
    </w:p>
    <w:p>
      <w:pPr>
        <w:pStyle w:val="670"/>
        <w:jc w:val="both"/>
        <w:rPr>
          <w:rFonts w:ascii="Garamond" w:hAnsi="Garamond" w:eastAsia="Garamond"/>
        </w:rPr>
      </w:pPr>
      <w:r>
        <w:rPr>
          <w:rFonts w:ascii="Garamond" w:hAnsi="Garamond" w:eastAsia="Garamond"/>
        </w:rPr>
        <w:t xml:space="preserve">5- Satisfaire, s'il y a lieu, à la déclaration d'intention d'aliéner, exigée par la loi. En cas d'exercice du </w:t>
      </w:r>
      <w:r>
        <w:rPr>
          <w:rFonts w:ascii="Garamond" w:hAnsi="Garamond" w:eastAsia="Garamond"/>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0"/>
        <w:jc w:val="both"/>
        <w:rPr>
          <w:rFonts w:ascii="Garamond" w:hAnsi="Garamond" w:eastAsia="Garamond"/>
        </w:rPr>
      </w:pPr>
      <w:r>
        <w:rPr>
          <w:rFonts w:ascii="Garamond" w:hAnsi="Garamond" w:eastAsia="Garamond"/>
        </w:rPr>
        <w:t xml:space="preserve">6- Sequestre</w:t>
      </w:r>
      <w:r>
        <w:rPr>
          <w:rFonts w:ascii="Garamond" w:hAnsi="Garamond" w:eastAsia="Garamond"/>
        </w:rPr>
        <w:t xml:space="preserve"> : En vue de garantir la bonne excécution des présentes et de leur suite, les fonds ou valeurs qu'il est d'usage de faire verser par l'acquéreur seront détenus par tout séquestre habilité à cet effet (notaire ou agence titulaire d'une garantie financière).</w:t>
      </w:r>
      <w:r/>
    </w:p>
    <w:p>
      <w:pPr>
        <w:pStyle w:val="670"/>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r/>
    </w:p>
    <w:p>
      <w:pPr>
        <w:pStyle w:val="670"/>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pStyle w:val="670"/>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r/>
    </w:p>
    <w:p>
      <w:pPr>
        <w:pStyle w:val="670"/>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r/>
    </w:p>
    <w:p>
      <w:pPr>
        <w:pStyle w:val="670"/>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w:t>
      </w:r>
      <w:r>
        <w:rPr>
          <w:rFonts w:ascii="Garamond" w:hAnsi="Garamond" w:eastAsia="Garamond"/>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70"/>
        <w:rPr>
          <w:rFonts w:ascii="Garamond" w:hAnsi="Garamond" w:eastAsia="Garamond"/>
          <w:sz w:val="18"/>
        </w:rPr>
      </w:pPr>
      <w:r>
        <w:rPr>
          <w:rFonts w:ascii="Garamond" w:hAnsi="Garamond" w:eastAsia="Garamond"/>
          <w:sz w:val="18"/>
        </w:rPr>
      </w:r>
      <w:r/>
    </w:p>
    <w:p>
      <w:pPr>
        <w:pStyle w:val="670"/>
        <w:rPr>
          <w:rFonts w:ascii="Garamond" w:hAnsi="Garamond" w:eastAsia="Garamond"/>
          <w:b/>
        </w:rPr>
      </w:pPr>
      <w:r>
        <w:rPr>
          <w:rFonts w:ascii="Garamond" w:hAnsi="Garamond" w:eastAsia="Garamond"/>
          <w:b/>
          <w:sz w:val="24"/>
        </w:rPr>
        <w:t xml:space="preserve">10. Obligations du mandant :</w:t>
      </w:r>
      <w:r>
        <w:rPr>
          <w:rFonts w:ascii="Garamond" w:hAnsi="Garamond" w:eastAsia="Garamond"/>
          <w:b/>
        </w:rPr>
        <w:t xml:space="preserve"> </w:t>
      </w:r>
      <w:r/>
    </w:p>
    <w:p>
      <w:pPr>
        <w:pStyle w:val="670"/>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70"/>
        <w:jc w:val="both"/>
        <w:rPr>
          <w:rFonts w:ascii="Garamond" w:hAnsi="Garamond" w:eastAsia="Garamond"/>
        </w:rPr>
      </w:pPr>
      <w:r>
        <w:rPr>
          <w:rFonts w:ascii="Garamond" w:hAnsi="Garamond" w:eastAsia="Garamond"/>
          <w:b/>
        </w:rPr>
        <w:t xml:space="preserve">-Si nous présentons les biens à vendre directement, nous le ferons au prix des présentes de façon à ne pas vous gêner dans votre mission, et nous nous engageons à vous informer immédiatement de tout changement du prix de vente.</w:t>
      </w:r>
      <w:r/>
    </w:p>
    <w:p>
      <w:pPr>
        <w:pStyle w:val="670"/>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r/>
    </w:p>
    <w:p>
      <w:pPr>
        <w:pStyle w:val="670"/>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r/>
    </w:p>
    <w:p>
      <w:pPr>
        <w:pStyle w:val="670"/>
        <w:rPr>
          <w:rFonts w:ascii="Garamond" w:hAnsi="Garamond" w:eastAsia="Garamond"/>
        </w:rPr>
      </w:pPr>
      <w:r>
        <w:rPr>
          <w:rFonts w:ascii="Garamond" w:hAnsi="Garamond" w:eastAsia="Garamond"/>
        </w:rPr>
      </w:r>
      <w:r/>
    </w:p>
    <w:p>
      <w:pPr>
        <w:pStyle w:val="670"/>
        <w:jc w:val="both"/>
        <w:rPr>
          <w:rFonts w:ascii="Garamond" w:hAnsi="Garamond" w:eastAsia="Garamond"/>
          <w:sz w:val="18"/>
        </w:rPr>
      </w:pPr>
      <w:r>
        <w:rPr>
          <w:rFonts w:ascii="Garamond" w:hAnsi="Garamond" w:eastAsia="Garamond"/>
          <w:sz w:val="18"/>
        </w:rPr>
      </w:r>
      <w:r/>
    </w:p>
    <w:p>
      <w:pPr>
        <w:pStyle w:val="670"/>
        <w:jc w:val="both"/>
        <w:rPr>
          <w:rFonts w:ascii="Garamond" w:hAnsi="Garamond" w:eastAsia="Garamond"/>
          <w:sz w:val="18"/>
        </w:rPr>
      </w:pPr>
      <w:r>
        <w:rPr>
          <w:rFonts w:ascii="Garamond" w:hAnsi="Garamond" w:eastAsia="Garamond"/>
          <w:sz w:val="18"/>
        </w:rPr>
      </w:r>
      <w:r/>
    </w:p>
    <w:p>
      <w:pPr>
        <w:pStyle w:val="670"/>
        <w:jc w:val="both"/>
        <w:rPr>
          <w:rFonts w:ascii="Garamond" w:hAnsi="Garamond" w:eastAsia="Garamond"/>
          <w:sz w:val="18"/>
        </w:rPr>
      </w:pPr>
      <w:r>
        <w:rPr>
          <w:rFonts w:ascii="Garamond" w:hAnsi="Garamond" w:eastAsia="Garamond"/>
          <w:sz w:val="18"/>
        </w:rPr>
      </w:r>
      <w:r/>
    </w:p>
    <w:p>
      <w:pPr>
        <w:pStyle w:val="670"/>
        <w:rPr>
          <w:rFonts w:ascii="Garamond" w:hAnsi="Garamond" w:eastAsia="Garamond"/>
          <w:b/>
          <w:sz w:val="24"/>
        </w:rPr>
      </w:pPr>
      <w:r>
        <w:rPr>
          <w:rFonts w:ascii="Garamond" w:hAnsi="Garamond" w:eastAsia="Garamond"/>
          <w:b/>
        </w:rPr>
        <w:t xml:space="preserve">11. </w:t>
      </w:r>
      <w:r>
        <w:rPr>
          <w:rFonts w:ascii="Garamond" w:hAnsi="Garamond" w:eastAsia="Garamond"/>
          <w:b/>
          <w:sz w:val="24"/>
        </w:rPr>
        <w:t xml:space="preserve">Option mandat Privilège : </w:t>
      </w:r>
      <w:r/>
    </w:p>
    <w:p>
      <w:pPr>
        <w:pStyle w:val="670"/>
        <w:jc w:val="both"/>
        <w:rPr>
          <w:rFonts w:ascii="Garamond" w:hAnsi="Garamond" w:eastAsia="Garamond"/>
          <w:b/>
        </w:rPr>
      </w:pPr>
      <w:r>
        <w:rPr>
          <w:rFonts w:ascii="Garamond" w:hAnsi="Garamond" w:eastAsia="Garamond"/>
        </w:rPr>
        <w:t xml:space="preserve">Le présent mandat vous est consenti sans exclusivité ; nous gardons toute liberté de vendre par nous même sous réserve de respecter les obligations de l'article 10.</w:t>
      </w:r>
      <w:r/>
    </w:p>
    <w:p>
      <w:pPr>
        <w:pStyle w:val="67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67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rPr>
        <w:t xml:space="preserve">12. Vente sans votre concours</w:t>
      </w:r>
      <w:r>
        <w:rPr>
          <w:rFonts w:ascii="Garamond" w:hAnsi="Garamond" w:eastAsia="Garamond"/>
        </w:rPr>
        <w:t xml:space="preserve"> </w:t>
      </w:r>
      <w:r>
        <w:rPr>
          <w:rFonts w:ascii="Garamond" w:hAnsi="Garamond" w:eastAsia="Garamond"/>
          <w:b/>
        </w:rPr>
        <w:t xml:space="preserve">: </w:t>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0"/>
        </w:rPr>
      </w:pPr>
      <w:r>
        <w:rPr>
          <w:rFonts w:ascii="Garamond" w:hAnsi="Garamond" w:eastAsia="Garamond"/>
          <w:sz w:val="20"/>
        </w:rPr>
        <w:t xml:space="preserve">-Dans le cas de vente sans votre concours, nous nous engageons à vous en informer immé</w:t>
      </w:r>
      <w:r>
        <w:rPr>
          <w:rFonts w:ascii="Garamond" w:hAnsi="Garamond" w:eastAsia="Garamond"/>
          <w:sz w:val="20"/>
        </w:rPr>
        <w:t xml:space="preserve">diatement en vous précisant les noms et adresses de l'acquéreur, du notaire chargé de l'acte authentique et de l'agence éventuellement intervenue, ainsi que du prix de vente final, et ce, pendant la durée du présent mandat et deux ans après son expiration.</w:t>
      </w:r>
      <w:r/>
    </w:p>
    <w:p>
      <w:pPr>
        <w:pStyle w:val="670"/>
        <w:rPr>
          <w:rFonts w:ascii="Garamond" w:hAnsi="Garamond" w:eastAsia="Garamond"/>
        </w:rPr>
      </w:pPr>
      <w:r>
        <w:rPr>
          <w:rFonts w:ascii="Garamond" w:hAnsi="Garamond" w:eastAsia="Garamond"/>
        </w:rPr>
        <w:t xml:space="preserve">-Clauses pénales: En cas de non respect de la clause ci-dessus, le ma</w:t>
      </w:r>
      <w:r>
        <w:rPr>
          <w:rFonts w:ascii="Garamond" w:hAnsi="Garamond" w:eastAsia="Garamond"/>
        </w:rPr>
        <w:t xml:space="preserve">ndant versera une indemnité compensatrice forfaitaire correspondant à la moitié de la rémunération convenue. Par ailleurs, en cas de vente à un acquéreur ayant eu connaissance de la vente du bien par l'intermédiaire de l'agence, ou en cas de refus de vendr</w:t>
      </w:r>
      <w:r>
        <w:rPr>
          <w:rFonts w:ascii="Garamond" w:hAnsi="Garamond" w:eastAsia="Garamond"/>
        </w:rPr>
        <w:t xml:space="preserve">e à un acquéreur qui aurait été présenté par l'agence, ou en cas d'infraction à une clause de préférence définie à l'article 11 du présent mandat, le mandant versera une indemnité compensatrice forfaitaire égale à la rémunération prévue au présent mandat. </w:t>
      </w:r>
      <w:r/>
    </w:p>
    <w:p>
      <w:pPr>
        <w:pStyle w:val="670"/>
        <w:rPr>
          <w:rFonts w:ascii="Garamond" w:hAnsi="Garamond" w:eastAsia="Garamond"/>
        </w:rPr>
      </w:pPr>
      <w:r>
        <w:rPr>
          <w:rFonts w:ascii="Garamond" w:hAnsi="Garamond" w:eastAsia="Garamond"/>
        </w:rPr>
      </w:r>
      <w:r/>
    </w:p>
    <w:p>
      <w:pPr>
        <w:pStyle w:val="67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rPr>
        <w:t xml:space="preserve">: </w:t>
      </w:r>
      <w:r/>
    </w:p>
    <w:p>
      <w:pPr>
        <w:pStyle w:val="670"/>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r/>
    </w:p>
    <w:p>
      <w:pPr>
        <w:pStyle w:val="670"/>
        <w:jc w:val="both"/>
        <w:rPr>
          <w:rFonts w:ascii="Garamond" w:hAnsi="Garamond" w:eastAsia="Garamond"/>
        </w:rPr>
      </w:pPr>
      <w:r>
        <w:rPr>
          <w:rFonts w:ascii="Garamond" w:hAnsi="Garamond" w:eastAsia="Garamond"/>
        </w:rPr>
        <w:t xml:space="preserve">Si le mandant entend utiliser cette faculté, il utilisera le formulaire ci-dessous ou proc</w:t>
      </w:r>
      <w:r>
        <w:rPr>
          <w:rFonts w:ascii="Garamond" w:hAnsi="Garamond" w:eastAsia="Garamond"/>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70"/>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r/>
    </w:p>
    <w:p>
      <w:pPr>
        <w:pStyle w:val="670"/>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r/>
    </w:p>
    <w:p>
      <w:pPr>
        <w:pStyle w:val="670"/>
        <w:rPr>
          <w:rFonts w:ascii="Garamond" w:hAnsi="Garamond" w:eastAsia="Garamond"/>
          <w:sz w:val="18"/>
        </w:rPr>
      </w:pPr>
      <w:r>
        <w:rPr>
          <w:rFonts w:ascii="Garamond" w:hAnsi="Garamond" w:eastAsia="Garamond"/>
          <w:sz w:val="18"/>
        </w:rPr>
      </w:r>
      <w:r/>
    </w:p>
    <w:p>
      <w:pPr>
        <w:pStyle w:val="670"/>
        <w:rPr>
          <w:rFonts w:ascii="Garamond" w:hAnsi="Garamond" w:eastAsia="Garamond"/>
          <w:sz w:val="22"/>
        </w:rPr>
      </w:pPr>
      <w:r>
        <w:rPr>
          <w:rFonts w:ascii="Garamond" w:hAnsi="Garamond" w:eastAsia="Garamond"/>
          <w:b/>
          <w:sz w:val="24"/>
        </w:rPr>
        <w:t xml:space="preserve">O - Option Exécution immédiate du mandat </w:t>
      </w:r>
      <w:r>
        <w:rPr>
          <w:rFonts w:ascii="Garamond" w:hAnsi="Garamond" w:eastAsia="Garamond"/>
          <w:sz w:val="22"/>
        </w:rPr>
        <w:t xml:space="preserve">(si le mandat est signé à l'agence)</w:t>
      </w:r>
      <w:r/>
    </w:p>
    <w:p>
      <w:pPr>
        <w:pStyle w:val="670"/>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r/>
    </w:p>
    <w:p>
      <w:pPr>
        <w:pStyle w:val="670"/>
        <w:rPr>
          <w:rFonts w:ascii="Garamond" w:hAnsi="Garamond" w:eastAsia="Garamond"/>
          <w:b/>
          <w:sz w:val="24"/>
        </w:rPr>
      </w:pPr>
      <w:r>
        <w:rPr>
          <w:rFonts w:ascii="Garamond" w:hAnsi="Garamond" w:eastAsia="Garamond"/>
          <w:b/>
          <w:sz w:val="24"/>
        </w:rPr>
      </w:r>
      <w:r/>
    </w:p>
    <w:p>
      <w:pPr>
        <w:pStyle w:val="670"/>
        <w:rPr>
          <w:rFonts w:ascii="Garamond" w:hAnsi="Garamond" w:eastAsia="Garamond"/>
          <w:b/>
          <w:sz w:val="24"/>
        </w:rPr>
      </w:pPr>
      <w:r>
        <w:rPr>
          <w:rFonts w:ascii="Garamond" w:hAnsi="Garamond" w:eastAsia="Garamond"/>
          <w:b/>
          <w:sz w:val="24"/>
        </w:rPr>
      </w:r>
      <w:r/>
    </w:p>
    <w:p>
      <w:pPr>
        <w:pStyle w:val="670"/>
        <w:rPr>
          <w:rFonts w:ascii="Garamond" w:hAnsi="Garamond" w:eastAsia="Garamond"/>
          <w:b/>
          <w:sz w:val="24"/>
          <w:shd w:val="clear" w:color="auto" w:fill="c0c0c0"/>
        </w:rPr>
      </w:pPr>
      <w:r>
        <w:rPr>
          <w:rFonts w:ascii="Garamond" w:hAnsi="Garamond" w:eastAsia="Garamond"/>
          <w:b/>
          <w:sz w:val="24"/>
        </w:rPr>
        <w:t xml:space="preserve">Fait à  </w:t>
      </w:r>
      <w:r>
        <w:rPr>
          <w:rFonts w:ascii="Garamond" w:hAnsi="Garamond" w:eastAsia="Garamond"/>
          <w:b/>
          <w:sz w:val="24"/>
          <w:shd w:val="clear" w:color="auto" w:fill="c0c0c0"/>
        </w:rPr>
        <w:t xml:space="preserve">                                        SERGEAC                                         </w:t>
      </w:r>
      <w:r>
        <w:rPr>
          <w:rFonts w:ascii="Garamond" w:hAnsi="Garamond" w:eastAsia="Garamond"/>
          <w:b/>
          <w:sz w:val="24"/>
        </w:rPr>
        <w:t xml:space="preserve">  Le  </w:t>
      </w:r>
      <w:r>
        <w:rPr>
          <w:rFonts w:ascii="Garamond" w:hAnsi="Garamond" w:eastAsia="Garamond"/>
          <w:b/>
          <w:sz w:val="24"/>
          <w:shd w:val="clear" w:color="auto" w:fill="c0c0c0"/>
        </w:rPr>
        <w:t xml:space="preserve">         04 04 2024        </w:t>
      </w:r>
      <w:r/>
    </w:p>
    <w:p>
      <w:pPr>
        <w:pStyle w:val="670"/>
        <w:jc w:val="both"/>
        <w:rPr>
          <w:rFonts w:ascii="Garamond" w:hAnsi="Garamond" w:eastAsia="Garamond"/>
        </w:rPr>
      </w:pPr>
      <w:r>
        <w:rPr>
          <w:rFonts w:ascii="Garamond" w:hAnsi="Garamond" w:eastAsia="Garamond"/>
        </w:rPr>
      </w:r>
      <w:r/>
    </w:p>
    <w:p>
      <w:pPr>
        <w:pStyle w:val="670"/>
        <w:jc w:val="both"/>
        <w:rPr>
          <w:rFonts w:ascii="Garamond" w:hAnsi="Garamond" w:eastAsia="Garamond"/>
        </w:rPr>
      </w:pPr>
      <w:r>
        <w:rPr>
          <w:rFonts w:ascii="Garamond" w:hAnsi="Garamond" w:eastAsia="Garamond"/>
        </w:rPr>
        <w:t xml:space="preserve">en deux exemplaires</w:t>
      </w:r>
      <w:r/>
    </w:p>
    <w:p>
      <w:pPr>
        <w:pStyle w:val="670"/>
        <w:jc w:val="both"/>
        <w:rPr>
          <w:rFonts w:ascii="Garamond" w:hAnsi="Garamond" w:eastAsia="Garamond"/>
        </w:rPr>
      </w:pPr>
      <w:r>
        <w:rPr>
          <w:rFonts w:ascii="Garamond" w:hAnsi="Garamond" w:eastAsia="Garamond"/>
        </w:rPr>
        <w:t xml:space="preserve">Le mandant déclare et reconnait </w:t>
      </w:r>
      <w:r>
        <w:rPr>
          <w:rFonts w:ascii="Garamond" w:hAnsi="Garamond" w:eastAsia="Garamond"/>
        </w:rPr>
        <w:t xml:space="preserve">que préalablement à la signature des présentes, il a reçu les informations prévues aux articles L111-1,L111-2 et L111-3 du code de la consommation et qu'il a eu le temps nécessaire et suffisant pour en prendre connaissance, se renseigner et les comprendre.</w:t>
      </w:r>
      <w:r/>
    </w:p>
    <w:p>
      <w:pPr>
        <w:pStyle w:val="670"/>
        <w:rPr>
          <w:rFonts w:ascii="Garamond" w:hAnsi="Garamond" w:eastAsia="Garamond"/>
        </w:rPr>
      </w:pPr>
      <w:r>
        <w:rPr>
          <w:rFonts w:ascii="Garamond" w:hAnsi="Garamond" w:eastAsia="Garamond"/>
        </w:rPr>
      </w:r>
      <w:r/>
    </w:p>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5103"/>
        <w:gridCol w:w="5103"/>
      </w:tblGrid>
      <w:tr>
        <w:trPr/>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t xml:space="preserve">Le Propriétaire</w:t>
            </w:r>
            <w:r/>
          </w:p>
        </w:tc>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t xml:space="preserve">Demeures en Périgord </w:t>
            </w:r>
            <w:r/>
          </w:p>
        </w:tc>
      </w:tr>
      <w:tr>
        <w:trPr/>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t xml:space="preserve">"Bon pour mandat"</w:t>
            </w:r>
            <w:r/>
          </w:p>
        </w:tc>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t xml:space="preserve">"Mandat Accepté"</w:t>
            </w:r>
            <w:r/>
          </w:p>
        </w:tc>
      </w:tr>
    </w:tbl>
    <w:p>
      <w:pPr>
        <w:pStyle w:val="670"/>
        <w:rPr>
          <w:rFonts w:ascii="Garamond" w:hAnsi="Garamond" w:eastAsia="Garamond"/>
        </w:rPr>
      </w:pPr>
      <w:r>
        <w:rPr>
          <w:rFonts w:ascii="Garamond" w:hAnsi="Garamond" w:eastAsia="Garamond"/>
        </w:rPr>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48"/>
          <w:shd w:val="clear" w:color="auto" w:fill="cdf0fe"/>
        </w:rPr>
      </w:pPr>
      <w:r>
        <w:rPr>
          <w:rFonts w:ascii="Garamond" w:hAnsi="Garamond" w:eastAsia="Garamond"/>
          <w:i/>
          <w:sz w:val="22"/>
        </w:rPr>
        <w:tab/>
      </w:r>
      <w:r>
        <w:rPr>
          <w:rFonts w:ascii="Garamond" w:hAnsi="Garamond" w:eastAsia="Garamond"/>
          <w:b/>
          <w:sz w:val="48"/>
          <w:shd w:val="clear" w:color="auto" w:fill="cdf0fe"/>
        </w:rPr>
        <w:tab/>
        <w:tab/>
        <w:tab/>
        <w:tab/>
        <w:tab/>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48"/>
          <w:shd w:val="clear" w:color="auto" w:fill="cdf0fe"/>
        </w:rPr>
      </w:pPr>
      <w:r>
        <w:rPr>
          <w:rFonts w:ascii="Garamond" w:hAnsi="Garamond" w:eastAsia="Garamond"/>
          <w:i/>
          <w:sz w:val="22"/>
        </w:rPr>
        <w:tab/>
      </w:r>
      <w:r>
        <w:rPr>
          <w:rFonts w:ascii="Garamond" w:hAnsi="Garamond" w:eastAsia="Garamond"/>
          <w:b/>
          <w:sz w:val="48"/>
          <w:shd w:val="clear" w:color="auto" w:fill="cdf0fe"/>
        </w:rPr>
        <w:tab/>
        <w:tab/>
        <w:tab/>
        <w:tab/>
        <w:tab/>
      </w:r>
      <w:r/>
    </w:p>
    <w:p>
      <w:pPr>
        <w:pStyle w:val="670"/>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rPr>
      </w:pPr>
      <w:r>
        <w:rPr>
          <w:rFonts w:ascii="Garamond" w:hAnsi="Garamond" w:eastAsia="Garamond"/>
        </w:rPr>
      </w:r>
      <w:r/>
    </w:p>
    <w:p>
      <w:pPr>
        <w:pStyle w:val="669"/>
        <w:rPr>
          <w:rFonts w:ascii="Garamond" w:hAnsi="Garamond" w:eastAsia="Garamond"/>
          <w:sz w:val="16"/>
        </w:rPr>
      </w:pPr>
      <w:r>
        <w:rPr>
          <w:rFonts w:ascii="Garamond" w:hAnsi="Garamond" w:eastAsia="Garamond"/>
          <w:sz w:val="16"/>
        </w:rPr>
        <w:t xml:space="preserve">-- -- -- -- -- -- -- -- -- -- -- -- -- -- -- -- -- -- -- -- -- -- -- -- -- -- -- -- -- -- -- -- -- -- -- -- -- -- -- -- -- -- -- -- -- -- -- -- -- -- -- -- -- -- -- -- -- -- -- -- -- -- -- -- -- -- -- -- -- -- -- -- </w:t>
      </w:r>
      <w:r/>
    </w:p>
    <w:p>
      <w:pPr>
        <w:pStyle w:val="67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sz w:val="36"/>
        </w:rPr>
        <w:t xml:space="preserve">Formulaire de rétractation</w:t>
      </w:r>
      <w:r/>
    </w:p>
    <w:p>
      <w:pPr>
        <w:pStyle w:val="670"/>
        <w:rPr>
          <w:rFonts w:ascii="Garamond" w:hAnsi="Garamond" w:eastAsia="Garamond"/>
          <w:sz w:val="16"/>
        </w:rPr>
      </w:pPr>
      <w:r>
        <w:rPr>
          <w:rFonts w:ascii="Garamond" w:hAnsi="Garamond" w:eastAsia="Garamond"/>
          <w:sz w:val="16"/>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22"/>
        </w:rPr>
        <w:t xml:space="preserve">A l'attention de </w:t>
      </w:r>
      <w:r>
        <w:rPr>
          <w:rFonts w:ascii="Garamond" w:hAnsi="Garamond" w:eastAsia="Garamond"/>
          <w:b/>
          <w:sz w:val="24"/>
        </w:rPr>
        <w:t xml:space="preserve">Demeures en Périgord</w:t>
      </w:r>
      <w:r>
        <w:rPr>
          <w:rFonts w:ascii="Garamond" w:hAnsi="Garamond" w:eastAsia="Garamond"/>
          <w:sz w:val="22"/>
        </w:rPr>
        <w:t xml:space="preserve">, 23 boulevard de la Préhistoire 24620 Les Eyzies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16"/>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16"/>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sz w:val="22"/>
          <w:shd w:val="clear" w:color="auto" w:fill="c0c0c0"/>
        </w:rPr>
        <w:t xml:space="preserve">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t xml:space="preserve">Nom :  </w:t>
      </w:r>
      <w:r>
        <w:rPr>
          <w:rFonts w:ascii="Garamond" w:hAnsi="Garamond" w:eastAsia="Garamond"/>
          <w:b/>
          <w:sz w:val="22"/>
          <w:shd w:val="clear" w:color="auto" w:fill="c0c0c0"/>
        </w:rPr>
        <w:t xml:space="preserve">  DUBOIS   Christian et Denise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sz w:val="22"/>
        </w:rPr>
        <w:t xml:space="preserve">Adresse  </w:t>
      </w:r>
      <w:r>
        <w:rPr>
          <w:rFonts w:ascii="Garamond" w:hAnsi="Garamond" w:eastAsia="Garamond"/>
          <w:b/>
          <w:sz w:val="22"/>
          <w:shd w:val="clear" w:color="auto" w:fill="c0c0c0"/>
        </w:rPr>
        <w:t xml:space="preserve">    262 route des Chênes Verts   -   24290      Sergeac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sz w:val="22"/>
        </w:rPr>
        <w:t xml:space="preserve">Date  </w:t>
      </w:r>
      <w:r>
        <w:rPr>
          <w:rFonts w:ascii="Garamond" w:hAnsi="Garamond" w:eastAsia="Garamond"/>
          <w:b/>
          <w:sz w:val="22"/>
          <w:shd w:val="clear" w:color="auto" w:fill="c0c0c0"/>
        </w:rPr>
        <w:t xml:space="preserve">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t xml:space="preserve">Signature(s) </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rPr>
        <w:br w:type="page" w:clear="all"/>
      </w:r>
      <w:r>
        <w:rPr>
          <w:rFonts w:ascii="Garamond" w:hAnsi="Garamond" w:eastAsia="Garamond"/>
          <w:b/>
          <w:sz w:val="36"/>
        </w:rPr>
        <w:t xml:space="preserve">Informations Précontractuelles</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t xml:space="preserve">Préalables à la signature d'un mandat</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rPr>
        <w:t xml:space="preserve">Le professionnel prestataire de services avec lequel vous entrez en relation vous informe.</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r>
      <w:r/>
    </w:p>
    <w:p>
      <w:pPr>
        <w:pStyle w:val="669"/>
        <w:rPr>
          <w:rFonts w:ascii="Garamond" w:hAnsi="Garamond" w:eastAsia="Garamond"/>
          <w:sz w:val="18"/>
        </w:rPr>
      </w:pPr>
      <w:r>
        <w:rPr>
          <w:rFonts w:ascii="Garamond" w:hAnsi="Garamond" w:eastAsia="Garamond"/>
          <w:b/>
          <w:color w:val="004389"/>
          <w:sz w:val="20"/>
        </w:rPr>
        <w:t xml:space="preserve">Demeures en Périgord</w:t>
      </w:r>
      <w:r>
        <w:rPr>
          <w:rFonts w:ascii="Garamond" w:hAnsi="Garamond" w:eastAsia="Garamond"/>
          <w:sz w:val="18"/>
        </w:rPr>
        <w:t xml:space="preserve">, SAS au capital de 1 000 €, siège social 23 avenue de la Préhistoire 24620 Les</w:t>
      </w:r>
      <w:r>
        <w:rPr>
          <w:rFonts w:ascii="Garamond" w:hAnsi="Garamond" w:eastAsia="Garamond"/>
          <w:sz w:val="18"/>
        </w:rPr>
        <w:t xml:space="preserve">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r/>
    </w:p>
    <w:p>
      <w:pPr>
        <w:pStyle w:val="669"/>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r/>
    </w:p>
    <w:p>
      <w:pPr>
        <w:pStyle w:val="669"/>
        <w:rPr>
          <w:rFonts w:ascii="Garamond" w:hAnsi="Garamond" w:eastAsia="Garamond"/>
          <w:sz w:val="18"/>
        </w:rPr>
      </w:pPr>
      <w:r>
        <w:rPr>
          <w:rFonts w:ascii="Garamond" w:hAnsi="Garamond" w:eastAsia="Garamond"/>
          <w:sz w:val="18"/>
        </w:rPr>
        <w:t xml:space="preserve">Représentée par : Franck Bureau Président.</w:t>
      </w:r>
      <w:r/>
    </w:p>
    <w:p>
      <w:pPr>
        <w:pStyle w:val="669"/>
        <w:rPr>
          <w:rFonts w:ascii="Garamond" w:hAnsi="Garamond" w:eastAsia="Garamond"/>
          <w:sz w:val="18"/>
        </w:rPr>
      </w:pPr>
      <w:r>
        <w:rPr>
          <w:rFonts w:ascii="Garamond" w:hAnsi="Garamond" w:eastAsia="Garamond"/>
          <w:sz w:val="18"/>
        </w:rPr>
        <w:t xml:space="preserve">------</w:t>
      </w:r>
      <w:r/>
    </w:p>
    <w:p>
      <w:pPr>
        <w:pStyle w:val="669"/>
        <w:rPr>
          <w:rFonts w:ascii="Garamond" w:hAnsi="Garamond" w:eastAsia="Garamond"/>
          <w:sz w:val="18"/>
        </w:rPr>
      </w:pPr>
      <w:r>
        <w:rPr>
          <w:rFonts w:ascii="Garamond" w:hAnsi="Garamond" w:eastAsia="Garamond"/>
          <w:sz w:val="18"/>
        </w:rPr>
        <w:t xml:space="preserve">Le (les) consommateur (s):</w:t>
      </w:r>
      <w:r/>
    </w:p>
    <w:p>
      <w:pPr>
        <w:pStyle w:val="669"/>
        <w:jc w:val="both"/>
        <w:rPr>
          <w:rFonts w:ascii="Garamond" w:hAnsi="Garamond" w:eastAsia="Garamond"/>
          <w:sz w:val="16"/>
        </w:rPr>
      </w:pPr>
      <w:r>
        <w:rPr>
          <w:rFonts w:ascii="Garamond" w:hAnsi="Garamond" w:eastAsia="Garamond"/>
          <w:b/>
          <w:sz w:val="22"/>
          <w:shd w:val="clear" w:color="auto" w:fill="c0c0c0"/>
        </w:rPr>
        <w:t xml:space="preserve"> Monsieur et Madame  DUBOIS  Christian et Denise  </w:t>
      </w:r>
      <w:r/>
    </w:p>
    <w:p>
      <w:pPr>
        <w:pStyle w:val="669"/>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r/>
    </w:p>
    <w:p>
      <w:pPr>
        <w:pStyle w:val="669"/>
        <w:jc w:val="both"/>
        <w:rPr>
          <w:rFonts w:ascii="Garamond" w:hAnsi="Garamond" w:eastAsia="Garamond"/>
          <w:sz w:val="18"/>
        </w:rPr>
      </w:pPr>
      <w:r>
        <w:rPr>
          <w:rFonts w:ascii="Garamond" w:hAnsi="Garamond" w:eastAsia="Garamond"/>
          <w:b/>
          <w:sz w:val="18"/>
        </w:rPr>
        <w:t xml:space="preserve">Le service proposé consiste en</w:t>
      </w:r>
      <w:r>
        <w:rPr>
          <w:rFonts w:ascii="Garamond" w:hAnsi="Garamond" w:eastAsia="Garamond"/>
          <w:sz w:val="18"/>
        </w:rPr>
        <w:t xml:space="preserve"> : la vente d'un bien.</w:t>
      </w:r>
      <w:r/>
    </w:p>
    <w:p>
      <w:pPr>
        <w:pStyle w:val="669"/>
        <w:jc w:val="both"/>
        <w:rPr>
          <w:rFonts w:ascii="Garamond" w:hAnsi="Garamond" w:eastAsia="Garamond"/>
          <w:sz w:val="18"/>
        </w:rPr>
      </w:pPr>
      <w:r>
        <w:rPr>
          <w:rFonts w:ascii="Garamond" w:hAnsi="Garamond" w:eastAsia="Garamond"/>
          <w:b/>
          <w:sz w:val="18"/>
        </w:rPr>
        <w:t xml:space="preserve">Durée du mandat</w:t>
      </w:r>
      <w:r>
        <w:rPr>
          <w:rFonts w:ascii="Garamond" w:hAnsi="Garamond" w:eastAsia="Garamond"/>
          <w:sz w:val="18"/>
        </w:rPr>
        <w:t xml:space="preserve"> : 24 mois comprenant une première période irrévocable de 3 mois.</w:t>
      </w:r>
      <w:r/>
    </w:p>
    <w:p>
      <w:pPr>
        <w:pStyle w:val="669"/>
        <w:jc w:val="both"/>
        <w:rPr>
          <w:rFonts w:ascii="Garamond" w:hAnsi="Garamond" w:eastAsia="Garamond"/>
          <w:sz w:val="16"/>
        </w:rPr>
      </w:pPr>
      <w:r>
        <w:rPr>
          <w:rFonts w:ascii="Garamond" w:hAnsi="Garamond" w:eastAsia="Garamond"/>
          <w:b/>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r/>
    </w:p>
    <w:p>
      <w:pPr>
        <w:pStyle w:val="669"/>
        <w:jc w:val="both"/>
        <w:rPr>
          <w:rFonts w:ascii="Garamond" w:hAnsi="Garamond" w:eastAsia="Garamond"/>
          <w:sz w:val="18"/>
        </w:rPr>
      </w:pPr>
      <w:r>
        <w:rPr>
          <w:rFonts w:ascii="Garamond" w:hAnsi="Garamond" w:eastAsia="Garamond"/>
          <w:b/>
          <w:sz w:val="18"/>
        </w:rPr>
        <w:t xml:space="preserve">Honoraires</w:t>
      </w:r>
      <w:r>
        <w:rPr>
          <w:rFonts w:ascii="Garamond" w:hAnsi="Garamond" w:eastAsia="Garamond"/>
          <w:sz w:val="18"/>
        </w:rPr>
        <w:t xml:space="preserve">, en cas de pleine réussite de la mission confiée : 6%  TTC soit 13 800 € payée par l'acquéreur</w:t>
      </w:r>
      <w:r/>
    </w:p>
    <w:p>
      <w:pPr>
        <w:pStyle w:val="669"/>
        <w:jc w:val="both"/>
        <w:rPr>
          <w:rFonts w:ascii="Garamond" w:hAnsi="Garamond" w:eastAsia="Garamond"/>
          <w:sz w:val="18"/>
        </w:rPr>
      </w:pPr>
      <w:r>
        <w:rPr>
          <w:rFonts w:ascii="Garamond" w:hAnsi="Garamond" w:eastAsia="Garamond"/>
          <w:b/>
          <w:sz w:val="18"/>
        </w:rPr>
        <w:t xml:space="preserve">Modalités de règlement </w:t>
      </w:r>
      <w:r>
        <w:rPr>
          <w:rFonts w:ascii="Garamond" w:hAnsi="Garamond" w:eastAsia="Garamond"/>
          <w:sz w:val="18"/>
        </w:rPr>
        <w:t xml:space="preserve">: Virement par la comptabilité du Notaire en charge du dossier.</w:t>
      </w:r>
      <w:r/>
    </w:p>
    <w:p>
      <w:pPr>
        <w:pStyle w:val="669"/>
        <w:jc w:val="both"/>
        <w:rPr>
          <w:rFonts w:ascii="Garamond" w:hAnsi="Garamond" w:eastAsia="Garamond"/>
          <w:sz w:val="18"/>
        </w:rPr>
      </w:pPr>
      <w:r>
        <w:rPr>
          <w:rFonts w:ascii="Garamond" w:hAnsi="Garamond" w:eastAsia="Garamond"/>
          <w:b/>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w:t>
      </w:r>
      <w:r>
        <w:rPr>
          <w:rFonts w:ascii="Garamond" w:hAnsi="Garamond" w:eastAsia="Garamond"/>
          <w:sz w:val="18"/>
        </w:rPr>
        <w:t xml:space="preserve">e du mandat, en renvoyant au professionnel le coupon de rétractation attaché au mandat, ou toute déclaration dénuée d'ambiguïté, exprimant sa volonté de se rétracter, par lettre recommandée avec accusé de réception, et ce, sans avoir à motiver sa décision.</w:t>
      </w:r>
      <w:r/>
    </w:p>
    <w:p>
      <w:pPr>
        <w:pStyle w:val="669"/>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w:t>
      </w:r>
      <w:r>
        <w:rPr>
          <w:rFonts w:ascii="Garamond" w:hAnsi="Garamond" w:eastAsia="Garamond"/>
          <w:sz w:val="18"/>
        </w:rPr>
        <w:t xml:space="preserve">nt cette période, sauf si le mandataire a pleinement exécuté sa mission. Le mandant reconnaît avoir pris connaissance du formulaire de rétractation attaché au mandat. Si le mandat est signé à l'agence, le mandant ne bénéficie d'aucun délai de rétractation.</w:t>
      </w:r>
      <w:r/>
    </w:p>
    <w:p>
      <w:pPr>
        <w:pStyle w:val="669"/>
        <w:jc w:val="both"/>
        <w:rPr>
          <w:rFonts w:ascii="Garamond" w:hAnsi="Garamond" w:eastAsia="Garamond"/>
          <w:sz w:val="18"/>
        </w:rPr>
      </w:pPr>
      <w:r>
        <w:rPr>
          <w:rFonts w:ascii="Garamond" w:hAnsi="Garamond" w:eastAsia="Garamond"/>
          <w:b/>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r/>
    </w:p>
    <w:p>
      <w:pPr>
        <w:pStyle w:val="669"/>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r/>
    </w:p>
    <w:p>
      <w:pPr>
        <w:pStyle w:val="669"/>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r/>
    </w:p>
    <w:p>
      <w:pPr>
        <w:pStyle w:val="669"/>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r/>
    </w:p>
    <w:p>
      <w:pPr>
        <w:pStyle w:val="669"/>
        <w:jc w:val="both"/>
        <w:rPr>
          <w:rFonts w:ascii="Garamond" w:hAnsi="Garamond" w:eastAsia="Garamond"/>
          <w:sz w:val="18"/>
        </w:rPr>
      </w:pPr>
      <w:r>
        <w:rPr>
          <w:rFonts w:ascii="Garamond" w:hAnsi="Garamond" w:eastAsia="Garamond"/>
          <w:sz w:val="18"/>
        </w:rPr>
        <w:t xml:space="preserve">POUR SAISIR LE MEDIATEUR DE LA CONSOMMATION :</w:t>
      </w:r>
      <w:r/>
    </w:p>
    <w:p>
      <w:pPr>
        <w:pStyle w:val="669"/>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r/>
    </w:p>
    <w:p>
      <w:pPr>
        <w:pStyle w:val="669"/>
        <w:jc w:val="both"/>
        <w:rPr>
          <w:rFonts w:ascii="Garamond" w:hAnsi="Garamond" w:eastAsia="Garamond"/>
          <w:sz w:val="18"/>
        </w:rPr>
      </w:pPr>
      <w:r>
        <w:rPr>
          <w:rFonts w:ascii="Garamond" w:hAnsi="Garamond" w:eastAsia="Garamond"/>
          <w:sz w:val="18"/>
        </w:rPr>
        <w:t xml:space="preserve">Procédure gratuite pour le consommateur.</w:t>
      </w:r>
      <w:r/>
    </w:p>
    <w:p>
      <w:pPr>
        <w:pStyle w:val="669"/>
        <w:rPr>
          <w:rFonts w:ascii="Garamond" w:hAnsi="Garamond" w:eastAsia="Garamond"/>
          <w:sz w:val="18"/>
        </w:rPr>
      </w:pPr>
      <w:r>
        <w:rPr>
          <w:rFonts w:ascii="Garamond" w:hAnsi="Garamond" w:eastAsia="Garamond"/>
          <w:b/>
          <w:sz w:val="18"/>
        </w:rPr>
        <w:t xml:space="preserve">MEDIATION – VIVONS MIEUX ENSEMBLE</w:t>
      </w:r>
      <w:r/>
    </w:p>
    <w:p>
      <w:pPr>
        <w:pStyle w:val="669"/>
        <w:rPr>
          <w:rFonts w:ascii="Garamond" w:hAnsi="Garamond" w:eastAsia="Garamond"/>
          <w:sz w:val="18"/>
        </w:rPr>
      </w:pPr>
      <w:r>
        <w:rPr>
          <w:rFonts w:ascii="Garamond" w:hAnsi="Garamond" w:eastAsia="Garamond"/>
          <w:sz w:val="18"/>
        </w:rPr>
        <w:t xml:space="preserve">www.mediation-vivons-mieux-ensemble.fr  -  06 61 18 50 97  -  mediation@vivons-mieux-ensemble.fr</w:t>
      </w:r>
      <w:r/>
    </w:p>
    <w:p>
      <w:pPr>
        <w:pStyle w:val="669"/>
        <w:rPr>
          <w:rFonts w:ascii="Garamond" w:hAnsi="Garamond" w:eastAsia="Garamond"/>
          <w:sz w:val="18"/>
        </w:rPr>
      </w:pPr>
      <w:r>
        <w:rPr>
          <w:rFonts w:ascii="Garamond" w:hAnsi="Garamond" w:eastAsia="Garamond"/>
          <w:sz w:val="18"/>
        </w:rPr>
        <w:t xml:space="preserve">465 avenue de la Libération 54 000 NANCY</w:t>
      </w:r>
      <w:r/>
    </w:p>
    <w:p>
      <w:pPr>
        <w:pStyle w:val="669"/>
        <w:jc w:val="both"/>
        <w:rPr>
          <w:rFonts w:ascii="Garamond" w:hAnsi="Garamond" w:eastAsia="Garamond"/>
          <w:sz w:val="16"/>
        </w:rPr>
      </w:pPr>
      <w:r>
        <w:rPr>
          <w:rFonts w:ascii="Garamond" w:hAnsi="Garamond" w:eastAsia="Garamond"/>
          <w:sz w:val="16"/>
        </w:rPr>
      </w:r>
      <w:r/>
    </w:p>
    <w:p>
      <w:pPr>
        <w:pStyle w:val="669"/>
        <w:jc w:val="both"/>
        <w:rPr>
          <w:rFonts w:ascii="Garamond" w:hAnsi="Garamond" w:eastAsia="Garamond"/>
          <w:sz w:val="16"/>
        </w:rPr>
      </w:pPr>
      <w:r>
        <w:rPr>
          <w:rFonts w:ascii="Garamond" w:hAnsi="Garamond" w:eastAsia="Garamond"/>
          <w:sz w:val="16"/>
        </w:rPr>
      </w:r>
      <w:r/>
    </w:p>
    <w:p>
      <w:pPr>
        <w:pStyle w:val="669"/>
        <w:jc w:val="both"/>
        <w:rPr>
          <w:rFonts w:ascii="Garamond" w:hAnsi="Garamond" w:eastAsia="Garamond"/>
          <w:sz w:val="16"/>
        </w:rPr>
      </w:pPr>
      <w:r>
        <w:rPr>
          <w:rFonts w:ascii="Garamond" w:hAnsi="Garamond" w:eastAsia="Garamond"/>
          <w:sz w:val="16"/>
        </w:rPr>
      </w:r>
      <w:r/>
    </w:p>
    <w:p>
      <w:pPr>
        <w:pStyle w:val="669"/>
        <w:jc w:val="both"/>
        <w:rPr>
          <w:rFonts w:ascii="Garamond" w:hAnsi="Garamond" w:eastAsia="Garamond"/>
          <w:b/>
          <w:sz w:val="18"/>
        </w:rPr>
      </w:pPr>
      <w:r>
        <w:rPr>
          <w:rFonts w:ascii="Garamond" w:hAnsi="Garamond" w:eastAsia="Garamond"/>
          <w:b/>
          <w:sz w:val="22"/>
        </w:rPr>
        <w:t xml:space="preserve">Clause de consentement RGPD</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Nous vous remercions de nous confier votre bien immobilier à la vente.</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1. Nature des données à caractère personnel à traiter</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Dans le cadre de la vente de votre bien immobili</w:t>
      </w:r>
      <w:r>
        <w:rPr>
          <w:rFonts w:ascii="Garamond" w:hAnsi="Garamond" w:eastAsia="Garamond"/>
          <w:sz w:val="18"/>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2. Responsable du traitement des données à caractère personnel</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3. Finalités du traitement des données à caractère personnel</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Les données collectées dans ce cadre ne sont utilisées dans aucun autre but.</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w:t>
      </w:r>
      <w:r>
        <w:rPr>
          <w:rFonts w:ascii="Garamond" w:hAnsi="Garamond" w:eastAsia="Garamond"/>
          <w:sz w:val="18"/>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rFonts w:ascii="Garamond" w:hAnsi="Garamond" w:eastAsia="Garamond"/>
          <w:sz w:val="18"/>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4. Quelles données à caractère personnel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Dans le cadre des finalités mentionnées au point 3, notre cabinet</w:t>
      </w:r>
      <w:r>
        <w:rPr>
          <w:rFonts w:ascii="Garamond" w:hAnsi="Garamond" w:eastAsia="Garamond"/>
          <w:sz w:val="18"/>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5. Destinataire des données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Conformément à ce qui précède, et hormis s’il est nécessaire de communi</w:t>
      </w:r>
      <w:r>
        <w:rPr>
          <w:rFonts w:ascii="Garamond" w:hAnsi="Garamond" w:eastAsia="Garamond"/>
          <w:sz w:val="18"/>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rFonts w:ascii="Garamond" w:hAnsi="Garamond" w:eastAsia="Garamond"/>
          <w:sz w:val="18"/>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r/>
    </w:p>
    <w:p>
      <w:pPr>
        <w:pStyle w:val="670"/>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w:t>
      </w:r>
      <w:r>
        <w:rPr>
          <w:rFonts w:ascii="Garamond" w:hAnsi="Garamond" w:eastAsia="Garamond"/>
          <w:sz w:val="18"/>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70"/>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6. Mesures de sécurité</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Afin, dans la mesure du possible, d</w:t>
      </w:r>
      <w:r>
        <w:rPr>
          <w:rFonts w:ascii="Garamond" w:hAnsi="Garamond" w:eastAsia="Garamond"/>
          <w:sz w:val="18"/>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7. Durée de conservation</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8. Droits d’accès, rectification, droit à l’oubli, portabilité des données, opposition, non-profilage et notification de failles de sécurité</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Vous avez le droit de consulter et de faire rectifier les données visées.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Vous avez également le droit à l’oubli, à la portabilité des données et à l’opposition.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9. Plaintes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color w:val="222222"/>
          <w:sz w:val="18"/>
          <w:shd w:val="clear" w:color="auto" w:fill="ffffff"/>
        </w:rPr>
      </w:pPr>
      <w:r>
        <w:rPr>
          <w:rFonts w:ascii="Garamond" w:hAnsi="Garamond" w:eastAsia="Garamond"/>
          <w:color w:val="222222"/>
          <w:sz w:val="18"/>
          <w:shd w:val="clear" w:color="auto" w:fill="ffffff"/>
        </w:rPr>
        <w:t xml:space="preserve">CNIL - 3 Place de Fontenoy  - TSA 80715 - 75334 PARIS CEDEX 07 --  Tél : 01 53 73 22 22.</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color w:val="222222"/>
          <w:sz w:val="18"/>
          <w:shd w:val="clear" w:color="auto" w:fill="ffffff"/>
        </w:rPr>
      </w:pPr>
      <w:r>
        <w:rPr>
          <w:rFonts w:ascii="Garamond" w:hAnsi="Garamond" w:eastAsia="Garamond"/>
          <w:color w:val="222222"/>
          <w:sz w:val="18"/>
          <w:shd w:val="clear" w:color="auto" w:fill="ffffff"/>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10. Consentement</w:t>
      </w:r>
      <w:r/>
    </w:p>
    <w:p>
      <w:pPr>
        <w:pStyle w:val="669"/>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r/>
    </w:p>
    <w:p>
      <w:pPr>
        <w:pStyle w:val="669"/>
        <w:jc w:val="both"/>
        <w:rPr>
          <w:rFonts w:ascii="Garamond" w:hAnsi="Garamond" w:eastAsia="Garamond"/>
          <w:sz w:val="16"/>
        </w:rPr>
      </w:pPr>
      <w:r>
        <w:rPr>
          <w:rFonts w:ascii="Garamond" w:hAnsi="Garamond" w:eastAsia="Garamond"/>
          <w:sz w:val="16"/>
        </w:rPr>
      </w:r>
      <w:r/>
    </w:p>
    <w:p>
      <w:pPr>
        <w:pStyle w:val="669"/>
        <w:rPr>
          <w:rFonts w:ascii="Garamond" w:hAnsi="Garamond" w:eastAsia="Garamond"/>
          <w:b/>
          <w:sz w:val="18"/>
        </w:rPr>
      </w:pPr>
      <w:r>
        <w:rPr>
          <w:rFonts w:ascii="Garamond" w:hAnsi="Garamond" w:eastAsia="Garamond"/>
          <w:b/>
          <w:sz w:val="18"/>
        </w:rPr>
        <w:t xml:space="preserve">11. Bloctel </w:t>
      </w:r>
      <w:r/>
    </w:p>
    <w:p>
      <w:pPr>
        <w:pStyle w:val="669"/>
        <w:jc w:val="both"/>
        <w:rPr>
          <w:rFonts w:ascii="Garamond" w:hAnsi="Garamond" w:eastAsia="Garamond"/>
          <w:sz w:val="18"/>
        </w:rPr>
      </w:pPr>
      <w:r>
        <w:rPr>
          <w:rFonts w:ascii="Garamond" w:hAnsi="Garamond" w:eastAsia="Garamond"/>
          <w:sz w:val="18"/>
        </w:rPr>
        <w:t xml:space="preserve">Vous acceptez que notre agence collecte et utilise les donné</w:t>
      </w:r>
      <w:r>
        <w:rPr>
          <w:rFonts w:ascii="Garamond" w:hAnsi="Garamond" w:eastAsia="Garamond"/>
          <w:sz w:val="18"/>
        </w:rPr>
        <w:t xml:space="preserve">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r/>
    </w:p>
    <w:p>
      <w:pPr>
        <w:pStyle w:val="669"/>
        <w:jc w:val="both"/>
        <w:rPr>
          <w:rFonts w:ascii="Garamond" w:hAnsi="Garamond" w:eastAsia="Garamond"/>
          <w:sz w:val="16"/>
        </w:rPr>
      </w:pPr>
      <w:r>
        <w:rPr>
          <w:rFonts w:ascii="Garamond" w:hAnsi="Garamond" w:eastAsia="Garamond"/>
          <w:sz w:val="16"/>
        </w:rPr>
      </w:r>
      <w:r/>
    </w:p>
    <w:p>
      <w:pPr>
        <w:pStyle w:val="669"/>
        <w:jc w:val="both"/>
        <w:rPr>
          <w:rFonts w:ascii="Garamond" w:hAnsi="Garamond" w:eastAsia="Garamond"/>
          <w:sz w:val="16"/>
        </w:rPr>
      </w:pPr>
      <w:r>
        <w:rPr>
          <w:rFonts w:ascii="Garamond" w:hAnsi="Garamond" w:eastAsia="Garamond"/>
          <w:sz w:val="16"/>
        </w:rPr>
      </w:r>
      <w:r/>
    </w:p>
    <w:p>
      <w:pPr>
        <w:pStyle w:val="669"/>
        <w:rPr>
          <w:rFonts w:ascii="Garamond" w:hAnsi="Garamond" w:eastAsia="Garamond"/>
          <w:b/>
        </w:rPr>
      </w:pPr>
      <w:r>
        <w:rPr>
          <w:rFonts w:ascii="Garamond" w:hAnsi="Garamond" w:eastAsia="Garamond"/>
          <w:b/>
        </w:rPr>
      </w:r>
      <w:r/>
    </w:p>
    <w:p>
      <w:pPr>
        <w:pStyle w:val="669"/>
        <w:rPr>
          <w:rFonts w:ascii="Garamond" w:hAnsi="Garamond" w:eastAsia="Garamond"/>
          <w:b/>
        </w:rPr>
      </w:pPr>
      <w:r>
        <w:rPr>
          <w:rFonts w:ascii="Garamond" w:hAnsi="Garamond" w:eastAsia="Garamond"/>
          <w:b/>
        </w:rPr>
      </w:r>
      <w:r/>
    </w:p>
    <w:p>
      <w:pPr>
        <w:pStyle w:val="669"/>
        <w:rPr>
          <w:rFonts w:ascii="Garamond" w:hAnsi="Garamond" w:eastAsia="Garamond"/>
          <w:b/>
          <w:sz w:val="22"/>
          <w:shd w:val="clear" w:color="auto" w:fill="c0c0c0"/>
        </w:rPr>
      </w:pPr>
      <w:r>
        <w:rPr>
          <w:rFonts w:ascii="Garamond" w:hAnsi="Garamond" w:eastAsia="Garamond"/>
          <w:b/>
        </w:rPr>
        <w:t xml:space="preserve">Fait à  </w:t>
      </w:r>
      <w:r>
        <w:rPr>
          <w:rFonts w:ascii="Garamond" w:hAnsi="Garamond" w:eastAsia="Garamond"/>
          <w:b/>
          <w:sz w:val="22"/>
          <w:shd w:val="clear" w:color="auto" w:fill="c0c0c0"/>
        </w:rPr>
        <w:t xml:space="preserve">                 SERGEAC                                                  </w:t>
      </w:r>
      <w:r>
        <w:rPr>
          <w:rFonts w:ascii="Garamond" w:hAnsi="Garamond" w:eastAsia="Garamond"/>
          <w:b/>
          <w:sz w:val="18"/>
          <w:shd w:val="clear" w:color="auto" w:fill="c0c0c0"/>
        </w:rPr>
        <w:t xml:space="preserve">   </w:t>
      </w:r>
      <w:r>
        <w:rPr>
          <w:rFonts w:ascii="Garamond" w:hAnsi="Garamond" w:eastAsia="Garamond"/>
          <w:b/>
        </w:rPr>
        <w:t xml:space="preserve">  Le  </w:t>
      </w:r>
      <w:r>
        <w:rPr>
          <w:rFonts w:ascii="Garamond" w:hAnsi="Garamond" w:eastAsia="Garamond"/>
          <w:b/>
          <w:sz w:val="22"/>
          <w:shd w:val="clear" w:color="auto" w:fill="c0c0c0"/>
        </w:rPr>
        <w:t xml:space="preserve">           </w:t>
      </w:r>
      <w:r>
        <w:rPr>
          <w:rFonts w:ascii="Garamond" w:hAnsi="Garamond" w:eastAsia="Garamond"/>
          <w:b/>
          <w:sz w:val="22"/>
          <w:shd w:val="clear" w:color="auto" w:fill="c0c0c0"/>
        </w:rPr>
        <w:t xml:space="preserve">            04/04/2024                        </w:t>
      </w:r>
      <w:r>
        <w:rPr>
          <w:rFonts w:ascii="Garamond" w:hAnsi="Garamond" w:eastAsia="Garamond"/>
          <w:b/>
          <w:sz w:val="22"/>
          <w:shd w:val="clear" w:color="auto" w:fill="c0c0c0"/>
        </w:rPr>
        <w:t xml:space="preserve">        </w:t>
      </w:r>
      <w:r/>
    </w:p>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sz w:val="16"/>
        </w:rPr>
        <w:t xml:space="preserve">En 2 exemplaires dont un remis à chacune des parties.</w:t>
      </w:r>
      <w:r/>
    </w:p>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sz w:val="16"/>
        </w:rPr>
      </w:r>
      <w:r/>
    </w:p>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5103"/>
        <w:gridCol w:w="5103"/>
      </w:tblGrid>
      <w:tr>
        <w:trPr/>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sz w:val="18"/>
              </w:rPr>
              <w:t xml:space="preserve">Signature(s) du (des) consomateur(s)</w:t>
            </w:r>
            <w:r/>
          </w:p>
        </w:tc>
        <w:tc>
          <w:tcPr>
            <w:shd w:val="clear" w:color="auto" w:fill="auto"/>
            <w:tcW w:w="5103" w:type="dxa"/>
            <w:vAlign w:val="top"/>
            <w:textDirection w:val="lrTb"/>
            <w:noWrap w:val="false"/>
          </w:tcPr>
          <w:p>
            <w:pPr>
              <w:pStyle w:val="670"/>
              <w:jc w:val="center"/>
              <w:rPr>
                <w:rFonts w:ascii="Garamond" w:hAnsi="Garamond" w:eastAsia="Garamond"/>
                <w:sz w:val="18"/>
                <w:szCs w:val="18"/>
                <w:highlight w:val="none"/>
              </w:rPr>
            </w:pPr>
            <w:r>
              <w:rPr>
                <w:rFonts w:ascii="Garamond" w:hAnsi="Garamond" w:eastAsia="Garamond"/>
                <w:sz w:val="18"/>
              </w:rPr>
              <w:t xml:space="preserve">Signature du mandataire</w:t>
            </w:r>
            <w:r/>
          </w:p>
          <w:p>
            <w:pPr>
              <w:pStyle w:val="670"/>
              <w:jc w:val="center"/>
              <w:rPr>
                <w:rFonts w:ascii="Garamond" w:hAnsi="Garamond" w:eastAsia="Garamond"/>
                <w:sz w:val="18"/>
                <w:szCs w:val="18"/>
              </w:rPr>
            </w:pPr>
            <w:r>
              <w:rPr>
                <w:rFonts w:ascii="Garamond" w:hAnsi="Garamond" w:eastAsia="Garamond"/>
                <w:sz w:val="18"/>
                <w:highlight w:val="none"/>
              </w:rPr>
            </w:r>
            <w:r>
              <w:rPr>
                <w:rFonts w:ascii="Garamond" w:hAnsi="Garamond" w:eastAsia="Garamond"/>
                <w:sz w:val="18"/>
              </w:rPr>
              <w:t xml:space="preserve">Demeures en Périgord </w:t>
            </w:r>
            <w:r/>
            <w:r>
              <w:rPr>
                <w:rFonts w:ascii="Garamond" w:hAnsi="Garamond" w:eastAsia="Garamond"/>
                <w:sz w:val="18"/>
                <w:highlight w:val="none"/>
              </w:rPr>
            </w:r>
            <w:r>
              <w:rPr>
                <w:rFonts w:ascii="Garamond" w:hAnsi="Garamond" w:eastAsia="Garamond"/>
                <w:sz w:val="18"/>
                <w:highlight w:val="none"/>
              </w:rPr>
            </w:r>
          </w:p>
        </w:tc>
      </w:tr>
      <w:tr>
        <w:trPr/>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r>
            <w:r>
              <w:rPr>
                <w:rFonts w:ascii="Garamond" w:hAnsi="Garamond" w:eastAsia="Garamond"/>
              </w:rPr>
            </w:r>
          </w:p>
          <w:p>
            <w:pPr>
              <w:pStyle w:val="670"/>
              <w:jc w:val="center"/>
              <w:rPr>
                <w:rFonts w:ascii="Garamond" w:hAnsi="Garamond" w:eastAsia="Garamond"/>
              </w:rPr>
            </w:pPr>
            <w:r>
              <w:rPr>
                <w:rFonts w:ascii="Garamond" w:hAnsi="Garamond" w:eastAsia="Garamond"/>
              </w:rPr>
            </w:r>
            <w:r>
              <w:rPr>
                <w:rFonts w:ascii="Garamond" w:hAnsi="Garamond" w:eastAsia="Garamond"/>
              </w:rPr>
            </w:r>
          </w:p>
          <w:p>
            <w:pPr>
              <w:pStyle w:val="670"/>
              <w:jc w:val="center"/>
              <w:rPr>
                <w:rFonts w:ascii="Garamond" w:hAnsi="Garamond" w:eastAsia="Garamond"/>
              </w:rPr>
            </w:pPr>
            <w:r>
              <w:rPr>
                <w:rFonts w:ascii="Garamond" w:hAnsi="Garamond" w:eastAsia="Garamond"/>
              </w:rPr>
            </w:r>
            <w:r>
              <w:rPr>
                <w:rFonts w:ascii="Garamond" w:hAnsi="Garamond" w:eastAsia="Garamond"/>
              </w:rPr>
            </w:r>
          </w:p>
          <w:p>
            <w:pPr>
              <w:pStyle w:val="670"/>
              <w:jc w:val="center"/>
              <w:rPr>
                <w:rFonts w:ascii="Garamond" w:hAnsi="Garamond" w:eastAsia="Garamond"/>
              </w:rPr>
            </w:pPr>
            <w:r>
              <w:rPr>
                <w:rFonts w:ascii="Garamond" w:hAnsi="Garamond" w:eastAsia="Garamond"/>
              </w:rPr>
            </w:r>
            <w:r>
              <w:rPr>
                <w:rFonts w:ascii="Garamond" w:hAnsi="Garamond" w:eastAsia="Garamond"/>
              </w:rPr>
            </w:r>
          </w:p>
        </w:tc>
        <w:tc>
          <w:tcPr>
            <w:shd w:val="clear" w:color="auto" w:fill="auto"/>
            <w:tcW w:w="5103" w:type="dxa"/>
            <w:vAlign w:val="top"/>
            <w:textDirection w:val="lrTb"/>
            <w:noWrap w:val="false"/>
          </w:tcPr>
          <w:p>
            <w:pPr>
              <w:pStyle w:val="670"/>
              <w:jc w:val="center"/>
              <w:rPr>
                <w:rFonts w:ascii="Garamond" w:hAnsi="Garamond" w:eastAsia="Garamond"/>
                <w:sz w:val="18"/>
              </w:rPr>
            </w:pPr>
            <w:r>
              <w:rPr>
                <w:rFonts w:ascii="Garamond" w:hAnsi="Garamond" w:eastAsia="Garamond"/>
                <w:sz w:val="18"/>
              </w:rPr>
            </w:r>
            <w:r/>
          </w:p>
        </w:tc>
      </w:tr>
    </w:tbl>
    <w:p>
      <w:pPr>
        <w:pStyle w:val="669"/>
        <w:rPr>
          <w:rFonts w:ascii="Garamond" w:hAnsi="Garamond" w:eastAsia="Garamond"/>
          <w:sz w:val="16"/>
        </w:rPr>
      </w:pPr>
      <w:r>
        <w:rPr>
          <w:rFonts w:ascii="Garamond" w:hAnsi="Garamond" w:eastAsia="Garamond"/>
          <w:sz w:val="16"/>
        </w:rPr>
      </w:r>
      <w:r/>
    </w:p>
    <w:sectPr>
      <w:headerReference w:type="default" r:id="rId9"/>
      <w:footerReference w:type="default" r:id="rId10"/>
      <w:footnotePr/>
      <w:endnotePr/>
      <w:type w:val="nextPage"/>
      <w:pgSz w:w="11906" w:h="16838" w:orient="portrait"/>
      <w:pgMar w:top="850" w:right="850" w:bottom="850" w:left="850"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9"/>
      <w:jc w:val="right"/>
      <w:rPr>
        <w:rFonts w:ascii="Garamond" w:hAnsi="Garamond" w:eastAsia="Garamond"/>
        <w:b/>
        <w:sz w:val="48"/>
        <w:shd w:val="clear" w:color="auto" w:fill="b0ffff"/>
      </w:rPr>
    </w:pPr>
    <w:r>
      <w:rPr>
        <w:rFonts w:ascii="Garamond" w:hAnsi="Garamond" w:eastAsia="Garamond"/>
        <w:i/>
        <w:sz w:val="22"/>
      </w:rPr>
      <w:t xml:space="preserve">Paraphes :    </w:t>
    </w:r>
    <w:r>
      <w:rPr>
        <w:rFonts w:ascii="Garamond" w:hAnsi="Garamond" w:eastAsia="Garamond"/>
        <w:i/>
        <w:sz w:val="22"/>
        <w:shd w:val="clear" w:color="auto" w:fill="cdf0fe"/>
      </w:rPr>
      <w:t xml:space="preserve">                   </w:t>
    </w:r>
    <w:r>
      <w:rPr>
        <w:rFonts w:ascii="Garamond" w:hAnsi="Garamond" w:eastAsia="Garamond"/>
        <w:i/>
        <w:sz w:val="18"/>
        <w:shd w:val="clear" w:color="auto" w:fill="cdf0fe"/>
      </w:rPr>
      <w:t xml:space="preserve">   </w:t>
    </w:r>
    <w:r/>
  </w:p>
  <w:p>
    <w:pPr>
      <w:pStyle w:val="669"/>
      <w:jc w:val="center"/>
      <w:rPr>
        <w:rFonts w:ascii="Garamond" w:hAnsi="Garamond" w:eastAsia="Garamond"/>
        <w:b/>
        <w:sz w:val="22"/>
        <w:shd w:val="clear" w:color="auto" w:fill="b0ffff"/>
      </w:rPr>
    </w:pPr>
    <w:r>
      <w:rPr>
        <w:rFonts w:ascii="Garamond" w:hAnsi="Garamond" w:eastAsia="Garamond"/>
        <w:b/>
        <w:sz w:val="22"/>
      </w:rPr>
    </w:r>
    <w:r/>
  </w:p>
  <w:p>
    <w:pPr>
      <w:pStyle w:val="669"/>
      <w:jc w:val="center"/>
      <w:rPr>
        <w:rFonts w:ascii="Garamond" w:hAnsi="Garamond" w:eastAsia="Garamond"/>
        <w:b/>
        <w:sz w:val="22"/>
        <w:shd w:val="clear" w:color="auto" w:fill="b0ffff"/>
      </w:rPr>
    </w:pPr>
    <w:r>
      <w:rPr>
        <w:rFonts w:ascii="Garamond" w:hAnsi="Garamond" w:eastAsia="Garamond"/>
        <w:b/>
        <w:sz w:val="22"/>
        <w:shd w:val="clear" w:color="auto" w:fill="b0ffff"/>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1"/>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10"/>
    <w:link w:val="675"/>
    <w:uiPriority w:val="9"/>
    <w:rPr>
      <w:rFonts w:ascii="Arial" w:hAnsi="Arial" w:eastAsia="Arial" w:cs="Arial"/>
      <w:sz w:val="40"/>
      <w:szCs w:val="40"/>
    </w:rPr>
  </w:style>
  <w:style w:type="character" w:styleId="15">
    <w:name w:val="Heading 2 Char"/>
    <w:basedOn w:val="10"/>
    <w:link w:val="672"/>
    <w:uiPriority w:val="9"/>
    <w:rPr>
      <w:rFonts w:ascii="Arial" w:hAnsi="Arial" w:eastAsia="Arial" w:cs="Arial"/>
      <w:sz w:val="34"/>
    </w:rPr>
  </w:style>
  <w:style w:type="character" w:styleId="17">
    <w:name w:val="Heading 3 Char"/>
    <w:basedOn w:val="10"/>
    <w:link w:val="677"/>
    <w:uiPriority w:val="9"/>
    <w:rPr>
      <w:rFonts w:ascii="Arial" w:hAnsi="Arial" w:eastAsia="Arial" w:cs="Arial"/>
      <w:sz w:val="30"/>
      <w:szCs w:val="30"/>
    </w:rPr>
  </w:style>
  <w:style w:type="paragraph" w:styleId="18">
    <w:name w:val="Heading 4"/>
    <w:basedOn w:val="670"/>
    <w:next w:val="67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70"/>
    <w:next w:val="67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70"/>
    <w:next w:val="67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70"/>
    <w:next w:val="67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70"/>
    <w:next w:val="67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70"/>
    <w:next w:val="67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70"/>
    <w:next w:val="670"/>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70"/>
    <w:next w:val="670"/>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70"/>
    <w:next w:val="670"/>
    <w:link w:val="38"/>
    <w:uiPriority w:val="29"/>
    <w:qFormat/>
    <w:pPr>
      <w:ind w:left="720" w:right="720"/>
    </w:pPr>
    <w:rPr>
      <w:i/>
    </w:rPr>
  </w:style>
  <w:style w:type="character" w:styleId="38">
    <w:name w:val="Quote Char"/>
    <w:link w:val="37"/>
    <w:uiPriority w:val="29"/>
    <w:rPr>
      <w:i/>
    </w:rPr>
  </w:style>
  <w:style w:type="paragraph" w:styleId="39">
    <w:name w:val="Intense Quote"/>
    <w:basedOn w:val="670"/>
    <w:next w:val="67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70"/>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70"/>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70"/>
    <w:next w:val="67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7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7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70"/>
    <w:next w:val="670"/>
    <w:uiPriority w:val="39"/>
    <w:unhideWhenUsed/>
    <w:pPr>
      <w:ind w:left="0" w:right="0" w:firstLine="0"/>
      <w:spacing w:after="57"/>
    </w:pPr>
  </w:style>
  <w:style w:type="paragraph" w:styleId="181">
    <w:name w:val="toc 2"/>
    <w:basedOn w:val="670"/>
    <w:next w:val="670"/>
    <w:uiPriority w:val="39"/>
    <w:unhideWhenUsed/>
    <w:pPr>
      <w:ind w:left="283" w:right="0" w:firstLine="0"/>
      <w:spacing w:after="57"/>
    </w:pPr>
  </w:style>
  <w:style w:type="paragraph" w:styleId="182">
    <w:name w:val="toc 3"/>
    <w:basedOn w:val="670"/>
    <w:next w:val="670"/>
    <w:uiPriority w:val="39"/>
    <w:unhideWhenUsed/>
    <w:pPr>
      <w:ind w:left="567" w:right="0" w:firstLine="0"/>
      <w:spacing w:after="57"/>
    </w:pPr>
  </w:style>
  <w:style w:type="paragraph" w:styleId="183">
    <w:name w:val="toc 4"/>
    <w:basedOn w:val="670"/>
    <w:next w:val="670"/>
    <w:uiPriority w:val="39"/>
    <w:unhideWhenUsed/>
    <w:pPr>
      <w:ind w:left="850" w:right="0" w:firstLine="0"/>
      <w:spacing w:after="57"/>
    </w:pPr>
  </w:style>
  <w:style w:type="paragraph" w:styleId="184">
    <w:name w:val="toc 5"/>
    <w:basedOn w:val="670"/>
    <w:next w:val="670"/>
    <w:uiPriority w:val="39"/>
    <w:unhideWhenUsed/>
    <w:pPr>
      <w:ind w:left="1134" w:right="0" w:firstLine="0"/>
      <w:spacing w:after="57"/>
    </w:pPr>
  </w:style>
  <w:style w:type="paragraph" w:styleId="185">
    <w:name w:val="toc 6"/>
    <w:basedOn w:val="670"/>
    <w:next w:val="670"/>
    <w:uiPriority w:val="39"/>
    <w:unhideWhenUsed/>
    <w:pPr>
      <w:ind w:left="1417" w:right="0" w:firstLine="0"/>
      <w:spacing w:after="57"/>
    </w:pPr>
  </w:style>
  <w:style w:type="paragraph" w:styleId="186">
    <w:name w:val="toc 7"/>
    <w:basedOn w:val="670"/>
    <w:next w:val="670"/>
    <w:uiPriority w:val="39"/>
    <w:unhideWhenUsed/>
    <w:pPr>
      <w:ind w:left="1701" w:right="0" w:firstLine="0"/>
      <w:spacing w:after="57"/>
    </w:pPr>
  </w:style>
  <w:style w:type="paragraph" w:styleId="187">
    <w:name w:val="toc 8"/>
    <w:basedOn w:val="670"/>
    <w:next w:val="670"/>
    <w:uiPriority w:val="39"/>
    <w:unhideWhenUsed/>
    <w:pPr>
      <w:ind w:left="1984" w:right="0" w:firstLine="0"/>
      <w:spacing w:after="57"/>
    </w:pPr>
  </w:style>
  <w:style w:type="paragraph" w:styleId="188">
    <w:name w:val="toc 9"/>
    <w:basedOn w:val="670"/>
    <w:next w:val="67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0"/>
    <w:next w:val="670"/>
    <w:uiPriority w:val="99"/>
    <w:unhideWhenUsed/>
    <w:pPr>
      <w:spacing w:after="0" w:afterAutospacing="0"/>
    </w:pPr>
  </w:style>
  <w:style w:type="paragraph" w:styleId="669" w:default="1">
    <w:name w:val="[Normal]"/>
    <w:next w:val="669"/>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70">
    <w:name w:val="Normal"/>
    <w:next w:val="670"/>
    <w:qFormat/>
    <w:pPr>
      <w:ind w:left="0" w:right="0" w:firstLine="0"/>
      <w:jc w:val="left"/>
      <w:spacing w:before="0" w:after="0" w:line="240" w:lineRule="auto"/>
    </w:pPr>
    <w:rPr>
      <w:rFonts w:ascii="Arial" w:hAnsi="Arial" w:eastAsia="Arial"/>
      <w:b w:val="0"/>
      <w:i w:val="0"/>
      <w:strike w:val="0"/>
      <w:color w:val="auto"/>
      <w:sz w:val="20"/>
      <w:shd w:val="clear" w:color="auto" w:fill="auto"/>
    </w:rPr>
  </w:style>
  <w:style w:type="paragraph" w:styleId="671">
    <w:name w:val="Body Text 2"/>
    <w:basedOn w:val="670"/>
    <w:next w:val="671"/>
    <w:qFormat/>
    <w:pPr>
      <w:jc w:val="both"/>
    </w:pPr>
    <w:rPr>
      <w:rFonts w:ascii="Times New Roman" w:hAnsi="Times New Roman" w:eastAsia="Times New Roman"/>
      <w:sz w:val="22"/>
    </w:rPr>
  </w:style>
  <w:style w:type="paragraph" w:styleId="672">
    <w:name w:val="Heading 2"/>
    <w:basedOn w:val="670"/>
    <w:next w:val="670"/>
    <w:qFormat/>
    <w:pPr>
      <w:jc w:val="center"/>
    </w:pPr>
    <w:rPr>
      <w:sz w:val="24"/>
    </w:rPr>
  </w:style>
  <w:style w:type="paragraph" w:styleId="673">
    <w:name w:val="List Paragraph"/>
    <w:basedOn w:val="670"/>
    <w:next w:val="673"/>
    <w:qFormat/>
    <w:pPr>
      <w:ind w:left="720"/>
      <w:spacing w:after="160" w:line="257" w:lineRule="auto"/>
      <w:widowControl/>
    </w:pPr>
    <w:rPr>
      <w:sz w:val="24"/>
    </w:rPr>
  </w:style>
  <w:style w:type="paragraph" w:styleId="674">
    <w:name w:val="Body Text 3"/>
    <w:basedOn w:val="670"/>
    <w:next w:val="674"/>
    <w:qFormat/>
    <w:rPr>
      <w:rFonts w:ascii="Times New Roman" w:hAnsi="Times New Roman" w:eastAsia="Times New Roman"/>
      <w:b/>
      <w:sz w:val="22"/>
    </w:rPr>
  </w:style>
  <w:style w:type="paragraph" w:styleId="675">
    <w:name w:val="Heading 1"/>
    <w:basedOn w:val="670"/>
    <w:next w:val="670"/>
    <w:qFormat/>
    <w:rPr>
      <w:sz w:val="24"/>
    </w:rPr>
  </w:style>
  <w:style w:type="paragraph" w:styleId="676">
    <w:name w:val="Body Text"/>
    <w:basedOn w:val="670"/>
    <w:next w:val="676"/>
    <w:qFormat/>
    <w:pPr>
      <w:tabs>
        <w:tab w:val="left" w:pos="5103" w:leader="none"/>
      </w:tabs>
    </w:pPr>
    <w:rPr>
      <w:b/>
      <w:color w:val="0000ff"/>
      <w:sz w:val="24"/>
    </w:rPr>
  </w:style>
  <w:style w:type="paragraph" w:styleId="677">
    <w:name w:val="Heading 3"/>
    <w:basedOn w:val="670"/>
    <w:next w:val="670"/>
    <w:qFormat/>
    <w:pPr>
      <w:jc w:val="center"/>
    </w:pPr>
    <w:rPr>
      <w:rFonts w:ascii="Times New Roman" w:hAnsi="Times New Roman" w:eastAsia="Times New Roman"/>
      <w:b/>
    </w:rPr>
  </w:style>
  <w:style w:type="paragraph" w:styleId="678">
    <w:name w:val="Détail"/>
    <w:basedOn w:val="670"/>
    <w:next w:val="678"/>
    <w:qFormat/>
  </w:style>
  <w:style w:type="paragraph" w:styleId="679">
    <w:name w:val="Type de détail"/>
    <w:basedOn w:val="670"/>
    <w:next w:val="678"/>
    <w:qFormat/>
    <w:rPr>
      <w:b/>
      <w:u w:val="single"/>
    </w:rPr>
  </w:style>
  <w:style w:type="paragraph" w:styleId="680">
    <w:name w:val="Titre arial 14 pts gras"/>
    <w:basedOn w:val="670"/>
    <w:next w:val="680"/>
    <w:qFormat/>
    <w:rPr>
      <w:b/>
      <w:sz w:val="28"/>
    </w:rPr>
  </w:style>
  <w:style w:type="paragraph" w:styleId="681">
    <w:name w:val="Enumeration arial 10 pts"/>
    <w:basedOn w:val="670"/>
    <w:next w:val="681"/>
    <w:qFormat/>
    <w:pPr>
      <w:numPr>
        <w:ilvl w:val="0"/>
        <w:numId w:val="1"/>
      </w:numPr>
      <w:ind w:left="360" w:hanging="360"/>
    </w:pPr>
  </w:style>
  <w:style w:type="paragraph" w:styleId="682">
    <w:name w:val="align droite 2cm"/>
    <w:basedOn w:val="670"/>
    <w:next w:val="682"/>
    <w:qFormat/>
  </w:style>
  <w:style w:type="paragraph" w:styleId="683">
    <w:name w:val="Adresse"/>
    <w:basedOn w:val="670"/>
    <w:next w:val="683"/>
    <w:qFormat/>
    <w:pPr>
      <w:ind w:left="5103"/>
    </w:pPr>
  </w:style>
  <w:style w:type="paragraph" w:styleId="684">
    <w:name w:val="trt0xe"/>
    <w:basedOn w:val="670"/>
    <w:next w:val="684"/>
    <w:qFormat/>
    <w:pPr>
      <w:spacing w:before="100" w:after="100"/>
      <w:widowControl/>
    </w:pPr>
    <w:rPr>
      <w:rFonts w:ascii="Calibri" w:hAnsi="Calibri" w:eastAsia="Calibri"/>
      <w:sz w:val="22"/>
    </w:rPr>
  </w:style>
  <w:style w:type="character" w:styleId="685">
    <w:name w:val="STRONG"/>
    <w:qFormat/>
    <w:rPr>
      <w:b/>
    </w:rPr>
  </w:style>
  <w:style w:type="character" w:styleId="686">
    <w:name w:val="A"/>
    <w:qFormat/>
    <w:rPr>
      <w:color w:val="0000ff"/>
      <w:u w:val="single"/>
    </w:rPr>
  </w:style>
  <w:style w:type="character" w:styleId="687">
    <w:name w:val="Hyperlink"/>
    <w:qFormat/>
    <w:rPr>
      <w:color w:val="0000ff"/>
      <w:u w:val="single"/>
    </w:rPr>
  </w:style>
  <w:style w:type="paragraph" w:styleId="688">
    <w:name w:val="Standard"/>
    <w:basedOn w:val="669"/>
    <w:next w:val="688"/>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9">
    <w:name w:val="Corps de texte"/>
    <w:basedOn w:val="688"/>
    <w:next w:val="689"/>
    <w:qFormat/>
    <w:pPr>
      <w:spacing w:after="120"/>
    </w:pPr>
  </w:style>
  <w:style w:type="paragraph" w:styleId="690">
    <w:name w:val="BODY"/>
    <w:basedOn w:val="669"/>
    <w:next w:val="690"/>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691">
    <w:name w:val="H3"/>
    <w:basedOn w:val="690"/>
    <w:next w:val="691"/>
    <w:qFormat/>
    <w:pPr>
      <w:spacing w:before="93" w:after="186"/>
    </w:pPr>
    <w:rPr>
      <w:b/>
      <w:sz w:val="28"/>
    </w:rPr>
  </w:style>
  <w:style w:type="character" w:styleId="692">
    <w:name w:val="Default Paragraph Font PHPDOCX"/>
    <w:uiPriority w:val="1"/>
    <w:semiHidden/>
    <w:unhideWhenUsed/>
  </w:style>
  <w:style w:type="paragraph" w:styleId="693">
    <w:name w:val="List Paragraph PHPDOCX"/>
    <w:basedOn w:val="670"/>
    <w:uiPriority w:val="34"/>
    <w:qFormat/>
    <w:pPr>
      <w:contextualSpacing/>
      <w:ind w:left="720"/>
    </w:pPr>
  </w:style>
  <w:style w:type="paragraph" w:styleId="694">
    <w:name w:val="Title PHPDOCX"/>
    <w:basedOn w:val="670"/>
    <w:next w:val="670"/>
    <w:link w:val="69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5" w:customStyle="1">
    <w:name w:val="Title Car PHPDOCX"/>
    <w:basedOn w:val="692"/>
    <w:link w:val="694"/>
    <w:uiPriority w:val="10"/>
    <w:rPr>
      <w:rFonts w:asciiTheme="majorHAnsi" w:hAnsiTheme="majorHAnsi" w:eastAsiaTheme="majorEastAsia" w:cstheme="majorBidi"/>
      <w:color w:val="17365d" w:themeColor="text2" w:themeShade="BF"/>
      <w:spacing w:val="5"/>
      <w:sz w:val="52"/>
      <w:szCs w:val="52"/>
    </w:rPr>
  </w:style>
  <w:style w:type="paragraph" w:styleId="696">
    <w:name w:val="Subtitle PHPDOCX"/>
    <w:basedOn w:val="670"/>
    <w:next w:val="670"/>
    <w:link w:val="69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7" w:customStyle="1">
    <w:name w:val="Subtitle Car PHPDOCX"/>
    <w:basedOn w:val="692"/>
    <w:link w:val="696"/>
    <w:uiPriority w:val="11"/>
    <w:rPr>
      <w:rFonts w:asciiTheme="majorHAnsi" w:hAnsiTheme="majorHAnsi" w:eastAsiaTheme="majorEastAsia" w:cstheme="majorBidi"/>
      <w:i/>
      <w:iCs/>
      <w:color w:val="4f81bd" w:themeColor="accent1"/>
      <w:spacing w:val="15"/>
      <w:sz w:val="24"/>
      <w:szCs w:val="24"/>
    </w:rPr>
  </w:style>
  <w:style w:type="table" w:styleId="69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0">
    <w:name w:val="annotation reference PHPDOCX"/>
    <w:basedOn w:val="692"/>
    <w:uiPriority w:val="99"/>
    <w:semiHidden/>
    <w:unhideWhenUsed/>
    <w:rPr>
      <w:sz w:val="16"/>
      <w:szCs w:val="16"/>
    </w:rPr>
  </w:style>
  <w:style w:type="paragraph" w:styleId="701">
    <w:name w:val="annotation text PHPDOCX"/>
    <w:basedOn w:val="670"/>
    <w:link w:val="702"/>
    <w:uiPriority w:val="99"/>
    <w:semiHidden/>
    <w:unhideWhenUsed/>
    <w:pPr>
      <w:spacing w:line="240" w:lineRule="auto"/>
    </w:pPr>
    <w:rPr>
      <w:sz w:val="20"/>
      <w:szCs w:val="20"/>
    </w:rPr>
  </w:style>
  <w:style w:type="character" w:styleId="702" w:customStyle="1">
    <w:name w:val="Comment Text Char PHPDOCX"/>
    <w:basedOn w:val="692"/>
    <w:link w:val="701"/>
    <w:uiPriority w:val="99"/>
    <w:semiHidden/>
    <w:rPr>
      <w:sz w:val="20"/>
      <w:szCs w:val="20"/>
    </w:rPr>
  </w:style>
  <w:style w:type="paragraph" w:styleId="703">
    <w:name w:val="annotation subject PHPDOCX"/>
    <w:basedOn w:val="701"/>
    <w:next w:val="701"/>
    <w:link w:val="704"/>
    <w:uiPriority w:val="99"/>
    <w:semiHidden/>
    <w:unhideWhenUsed/>
    <w:rPr>
      <w:b/>
      <w:bCs/>
    </w:rPr>
  </w:style>
  <w:style w:type="character" w:styleId="704" w:customStyle="1">
    <w:name w:val="Comment Subject Char PHPDOCX"/>
    <w:basedOn w:val="702"/>
    <w:link w:val="703"/>
    <w:uiPriority w:val="99"/>
    <w:semiHidden/>
    <w:rPr>
      <w:b/>
      <w:bCs/>
      <w:sz w:val="20"/>
      <w:szCs w:val="20"/>
    </w:rPr>
  </w:style>
  <w:style w:type="paragraph" w:styleId="705">
    <w:name w:val="Balloon Text PHPDOCX"/>
    <w:basedOn w:val="670"/>
    <w:link w:val="706"/>
    <w:uiPriority w:val="99"/>
    <w:semiHidden/>
    <w:unhideWhenUsed/>
    <w:pPr>
      <w:spacing w:after="0" w:line="240" w:lineRule="auto"/>
    </w:pPr>
    <w:rPr>
      <w:rFonts w:ascii="Tahoma" w:hAnsi="Tahoma" w:cs="Tahoma"/>
      <w:sz w:val="16"/>
      <w:szCs w:val="16"/>
    </w:rPr>
  </w:style>
  <w:style w:type="character" w:styleId="706" w:customStyle="1">
    <w:name w:val="Balloon Text Char PHPDOCX"/>
    <w:basedOn w:val="692"/>
    <w:link w:val="705"/>
    <w:uiPriority w:val="99"/>
    <w:semiHidden/>
    <w:rPr>
      <w:rFonts w:ascii="Tahoma" w:hAnsi="Tahoma" w:cs="Tahoma"/>
      <w:sz w:val="16"/>
      <w:szCs w:val="16"/>
    </w:rPr>
  </w:style>
  <w:style w:type="paragraph" w:styleId="707">
    <w:name w:val="footnote Text PHPDOCX"/>
    <w:basedOn w:val="670"/>
    <w:link w:val="708"/>
    <w:uiPriority w:val="99"/>
    <w:semiHidden/>
    <w:unhideWhenUsed/>
    <w:pPr>
      <w:spacing w:after="0" w:line="240" w:lineRule="auto"/>
    </w:pPr>
    <w:rPr>
      <w:sz w:val="20"/>
      <w:szCs w:val="20"/>
    </w:rPr>
  </w:style>
  <w:style w:type="character" w:styleId="708" w:customStyle="1">
    <w:name w:val="footnote Text Car PHPDOCX"/>
    <w:basedOn w:val="692"/>
    <w:link w:val="707"/>
    <w:uiPriority w:val="99"/>
    <w:semiHidden/>
    <w:rPr>
      <w:sz w:val="20"/>
      <w:szCs w:val="20"/>
    </w:rPr>
  </w:style>
  <w:style w:type="character" w:styleId="709">
    <w:name w:val="footnote Reference PHPDOCX"/>
    <w:basedOn w:val="692"/>
    <w:uiPriority w:val="99"/>
    <w:semiHidden/>
    <w:unhideWhenUsed/>
    <w:rPr>
      <w:vertAlign w:val="superscript"/>
    </w:rPr>
  </w:style>
  <w:style w:type="paragraph" w:styleId="710">
    <w:name w:val="endnote Text PHPDOCX"/>
    <w:basedOn w:val="670"/>
    <w:link w:val="711"/>
    <w:uiPriority w:val="99"/>
    <w:semiHidden/>
    <w:unhideWhenUsed/>
    <w:pPr>
      <w:spacing w:after="0" w:line="240" w:lineRule="auto"/>
    </w:pPr>
    <w:rPr>
      <w:sz w:val="20"/>
      <w:szCs w:val="20"/>
    </w:rPr>
  </w:style>
  <w:style w:type="character" w:styleId="711" w:customStyle="1">
    <w:name w:val="endnote Text Car PHPDOCX"/>
    <w:basedOn w:val="692"/>
    <w:link w:val="710"/>
    <w:uiPriority w:val="99"/>
    <w:semiHidden/>
    <w:rPr>
      <w:sz w:val="20"/>
      <w:szCs w:val="20"/>
    </w:rPr>
  </w:style>
  <w:style w:type="character" w:styleId="712">
    <w:name w:val="endnote Reference PHPDOCX"/>
    <w:basedOn w:val="692"/>
    <w:uiPriority w:val="99"/>
    <w:semiHidden/>
    <w:unhideWhenUsed/>
    <w:rPr>
      <w:vertAlign w:val="superscript"/>
    </w:rPr>
  </w:style>
  <w:style w:type="character" w:styleId="1988" w:default="1">
    <w:name w:val="Default Paragraph Font"/>
    <w:uiPriority w:val="1"/>
    <w:semiHidden/>
    <w:unhideWhenUsed/>
  </w:style>
  <w:style w:type="numbering" w:styleId="1989" w:default="1">
    <w:name w:val="No List"/>
    <w:uiPriority w:val="99"/>
    <w:semiHidden/>
    <w:unhideWhenUsed/>
  </w:style>
  <w:style w:type="table" w:styleId="199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 Id="rId19" Type="http://schemas.openxmlformats.org/officeDocument/2006/relationships/image" Target="media/image9.jpg"/><Relationship Id="rId20" Type="http://schemas.openxmlformats.org/officeDocument/2006/relationships/image" Target="media/image10.jpg"/><Relationship Id="rId21" Type="http://schemas.openxmlformats.org/officeDocument/2006/relationships/image" Target="media/image11.jpg"/><Relationship Id="rId22" Type="http://schemas.openxmlformats.org/officeDocument/2006/relationships/image" Target="media/image12.jpg"/><Relationship Id="rId23" Type="http://schemas.openxmlformats.org/officeDocument/2006/relationships/image" Target="media/image13.jpg"/><Relationship Id="rId24" Type="http://schemas.openxmlformats.org/officeDocument/2006/relationships/image" Target="media/image14.jpg"/><Relationship Id="rId25" Type="http://schemas.openxmlformats.org/officeDocument/2006/relationships/image" Target="media/image15.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bureape</cp:lastModifiedBy>
  <cp:revision>1</cp:revision>
  <dcterms:modified xsi:type="dcterms:W3CDTF">2024-04-04T08:16:36Z</dcterms:modified>
</cp:coreProperties>
</file>