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327900" cy="1524000"/>
                      <wp:effectExtent l="0" t="0" r="0" b="0"/>
                      <wp:docPr id="1" name="Picture 1" descr="https://gildc.activimmo.ovh/mesimages/logo116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6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27900" cy="152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77.0pt;height:12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Demeures en Périgord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25756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Alexandre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DROGUET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+33677441609 - Email : deland3r@gmail.com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DEP0686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Maison Blanche 24160 SAINT-JORY-LAS-BLOUX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129600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2,285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Maison en pierre de 4 chambres et ses 2 granges, au calme sur les hauteurs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499051p6027815tzgy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499051p6027815tzgy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LES EYZIES,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lundi 6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Edgar Ter Meer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0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Alexandre DROGUET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Demeures en Périgord</w:t>
    </w:r>
    <w:r>
      <w:rPr>
        <w:rFonts w:ascii="Century Gothic" w:hAnsi="Century Gothic" w:eastAsia="Century Gothic"/>
        <w:sz w:val="20"/>
      </w:rPr>
      <w:t xml:space="preserve"> - LES EYZIES - 05 53 06 97 44 - dperigord@orange.fr - </w:t>
    </w:r>
    <w:r>
      <w:rPr>
        <w:rFonts w:ascii="Century Gothic" w:hAnsi="Century Gothic" w:eastAsia="Century Gothic"/>
        <w:sz w:val="20"/>
      </w:rPr>
      <w:t xml:space="preserve">https://www.demeuresenperigord.fr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termeed</cp:lastModifiedBy>
  <cp:revision>22</cp:revision>
  <dcterms:created xsi:type="dcterms:W3CDTF">2023-04-17T08:32:00Z</dcterms:created>
  <dcterms:modified xsi:type="dcterms:W3CDTF">2025-01-06T11:33:05Z</dcterms:modified>
</cp:coreProperties>
</file>