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sz w:val="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073"/>
        <w:gridCol w:w="7050"/>
        <w:gridCol w:w="1665"/>
      </w:tblGrid>
      <w:tr>
        <w:tc>
          <w:tcPr>
            <w:tcW w:w="207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tc>
        <w:tc>
          <w:tcPr>
            <w:tcW w:w="7050"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             </w:t>
            </w:r>
          </w:p>
          <w:p>
            <w:pPr>
              <w:pStyle w:val="[Normal]"/>
              <w:jc w:val="center"/>
              <w:rPr>
                <w:rFonts w:ascii="Garamond" w:hAnsi="Garamond" w:eastAsia="Garamond"/>
                <w:sz w:val="10"/>
              </w:rPr>
            </w:pPr>
          </w:p>
          <w:p>
            <w:pPr>
              <w:pStyle w:val="[Normal]"/>
              <w:jc w:val="center"/>
              <w:rPr>
                <w:sz w:val="12"/>
              </w:rPr>
            </w:pPr>
            <w:r>
              <w:rPr>
                <w:rFonts w:ascii="Garamond" w:hAnsi="Garamond" w:eastAsia="Garamond"/>
                <w:sz w:val="28"/>
              </w:rPr>
              <w:t xml:space="preserve">05 53 06 97 44                        </w:t>
            </w:r>
          </w:p>
          <w:p>
            <w:pPr>
              <w:pStyle w:val="[Normal]"/>
              <w:jc w:val="center"/>
              <w:rPr>
                <w:sz w:val="16"/>
              </w:rPr>
            </w:pPr>
            <w:r>
              <w:rPr>
                <w:rFonts w:ascii="Garamond" w:hAnsi="Garamond" w:eastAsia="Garamond"/>
                <w:sz w:val="32"/>
              </w:rPr>
              <w:t xml:space="preserve">dperigord@orange.fr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sz w:val="32"/>
              </w:rPr>
            </w:pPr>
            <w:r>
              <w:rPr>
                <w:rFonts w:ascii="Garamond" w:hAnsi="Garamond" w:eastAsia="Garamond"/>
                <w:b w:val="on"/>
                <w:sz w:val="32"/>
              </w:rPr>
              <w:t xml:space="preserve">www.demeuresenperigord.com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rPr>
              <w:t xml:space="preserve">TOUTES TRANSACTIONS IMMOBILIERES                 </w:t>
            </w:r>
          </w:p>
        </w:tc>
        <w:tc>
          <w:tcPr>
            <w:tcW w:w="166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anchor distT="0" distB="0" distL="0" distR="0" simplePos="0" relativeHeight="1000000" behindDoc="0" locked="0" layoutInCell="1" allowOverlap="1" hidden="false">
                  <wp:simplePos x="0" y="0"/>
                  <wp:positionH relativeFrom="column">
                    <wp:posOffset>72390</wp:posOffset>
                  </wp:positionH>
                  <wp:positionV relativeFrom="paragraph">
                    <wp:posOffset>128270</wp:posOffset>
                  </wp:positionV>
                  <wp:extent cx="796925" cy="905510"/>
                  <wp:wrapSquare wrapText="bothSides"/>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796925" cy="905510"/>
                          </a:xfrm>
                          <a:prstGeom prst="rect">
                            <a:avLst/>
                          </a:prstGeom>
                        </pic:spPr>
                      </pic:pic>
                    </a:graphicData>
                  </a:graphic>
                </wp:anchor>
              </w:drawing>
            </w:r>
          </w:p>
        </w:tc>
      </w:tr>
      <w:tr>
        <w:tc>
          <w:tcPr>
            <w:tcW w:w="10788"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sz w:val="16"/>
              </w:rPr>
            </w:pPr>
            <w:r>
              <w:rPr>
                <w:rFonts w:ascii="Times New Roman" w:hAnsi="Times New Roman" w:eastAsia="Times New Roman"/>
                <w:sz w:val="16"/>
              </w:rPr>
              <w:t xml:space="preserve">SAS Demeures en Périgord - Siège social : 23 avenue de la Préhistoire - 24620 Les Eyzies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Times New Roman" w:hAnsi="Times New Roman" w:eastAsia="Times New Roman"/>
                <w:sz w:val="16"/>
              </w:rPr>
              <w:t xml:space="preserve">R.C.S. Bergerac - Carte professionnelle n° </w:t>
            </w:r>
            <w:r>
              <w:rPr>
                <w:rFonts w:ascii="Garamond" w:hAnsi="Garamond" w:eastAsia="Garamond"/>
                <w:sz w:val="16"/>
              </w:rPr>
              <w:t xml:space="preserve">CPI 2402 2018 000 024 518</w:t>
            </w:r>
            <w:r>
              <w:rPr>
                <w:rFonts w:ascii="Times New Roman" w:hAnsi="Times New Roman" w:eastAsia="Times New Roman"/>
                <w:sz w:val="10"/>
              </w:rPr>
              <w:t xml:space="preserve"> </w:t>
            </w:r>
            <w:r>
              <w:rPr>
                <w:rFonts w:ascii="Times New Roman" w:hAnsi="Times New Roman" w:eastAsia="Times New Roman"/>
                <w:sz w:val="16"/>
              </w:rPr>
              <w:t xml:space="preserve">délivrée par la CCI Dordogne - Siret 801 169 871 00010 - N°TVA : FR72 801 169 871</w:t>
            </w:r>
          </w:p>
        </w:tc>
      </w:tr>
    </w:tbl>
    <w:p>
      <w:pPr>
        <w:pStyle w:val="[Normal]"/>
        <w:rPr>
          <w:sz w:val="12"/>
        </w:rPr>
      </w:pPr>
    </w:p>
    <w:tbl>
      <w:tblPr>
        <w:tblW w:w="0" w:type="auto"/>
        <w:jc w:val="left"/>
        <w:tblInd w:w="40" w:type="dxa"/>
        <w:tblBorders>
          <w:top w:val="single" w:sz="4" w:space="0" w:color="auto"/>
          <w:left w:val="single" w:sz="4" w:space="0" w:color="auto"/>
          <w:bottom w:val="single" w:sz="4" w:space="0" w:color="auto"/>
          <w:right w:val="single" w:sz="4" w:space="0" w:color="auto"/>
          <w:insideH w:val="none"/>
          <w:insideV w:val="single" w:sz="4" w:space="0" w:color="auto"/>
        </w:tblBorders>
        <w:tblLayout w:type="fixed"/>
        <w:tblCellMar>
          <w:top w:w="0" w:type="dxa"/>
          <w:left w:w="40" w:type="dxa"/>
          <w:bottom w:w="0" w:type="dxa"/>
          <w:right w:w="40" w:type="dxa"/>
        </w:tblCellMar>
      </w:tblPr>
      <w:tblGrid>
        <w:gridCol w:w="2058"/>
        <w:gridCol w:w="3225"/>
        <w:gridCol w:w="5487"/>
      </w:tblGrid>
      <w:tr>
        <w:trPr>
          <w:cantSplit/>
        </w:trPr>
        <w:tc>
          <w:tcPr>
            <w:tcW w:w="2058" w:type="dxa"/>
            <w:shd w:val="clear" w:fill="auto"/>
            <w:vAlign w:val="center"/>
          </w:tcPr>
          <w:p>
            <w:pPr>
              <w:pStyle w:val="[Normal]"/>
              <w:jc w:val="center"/>
              <w:rPr>
                <w:rFonts w:ascii="Garamond" w:hAnsi="Garamond" w:eastAsia="Garamond"/>
                <w:b w:val="on"/>
                <w:color w:val="004389"/>
                <w:sz w:val="28"/>
              </w:rPr>
            </w:pPr>
            <w:r>
              <w:rPr>
                <w:rFonts w:ascii="Garamond" w:hAnsi="Garamond" w:eastAsia="Garamond"/>
                <w:b w:val="on"/>
                <w:color w:val="004389"/>
                <w:sz w:val="32"/>
              </w:rPr>
              <w:t xml:space="preserve"> DEP0948</w:t>
            </w:r>
          </w:p>
        </w:tc>
        <w:tc>
          <w:tcPr>
            <w:tcW w:w="3225" w:type="dxa"/>
            <w:shd w:val="clear" w:fill="auto"/>
            <w:vAlign w:val="center"/>
          </w:tcPr>
          <w:p>
            <w:pPr>
              <w:pStyle w:val="[Normal]"/>
              <w:jc w:val="center"/>
              <w:rPr>
                <w:rFonts w:ascii="Garamond" w:hAnsi="Garamond" w:eastAsia="Garamond"/>
                <w:b w:val="on"/>
                <w:color w:val="004389"/>
                <w:sz w:val="28"/>
              </w:rPr>
            </w:pPr>
            <w:r>
              <w:rPr>
                <w:rFonts w:ascii="Garamond" w:hAnsi="Garamond" w:eastAsia="Garamond"/>
                <w:b w:val="on"/>
                <w:color w:val="004389"/>
                <w:sz w:val="28"/>
              </w:rPr>
              <w:t xml:space="preserve">424 000 € H.A.I </w:t>
            </w:r>
          </w:p>
          <w:p>
            <w:pPr>
              <w:pStyle w:val="[Normal]"/>
              <w:jc w:val="center"/>
              <w:rPr>
                <w:rFonts w:ascii="Garamond" w:hAnsi="Garamond" w:eastAsia="Garamond"/>
                <w:b w:val="on"/>
                <w:color w:val="004389"/>
                <w:sz w:val="28"/>
              </w:rPr>
            </w:pPr>
            <w:r>
              <w:rPr>
                <w:rFonts w:ascii="Garamond" w:hAnsi="Garamond" w:eastAsia="Garamond"/>
                <w:color w:val="004389"/>
                <w:sz w:val="16"/>
              </w:rPr>
              <w:t xml:space="preserve">dont 6,00% d'honoraires à charge de l'acquéreur</w:t>
              <w:br w:type="textWrapping"/>
            </w:r>
            <w:r>
              <w:rPr>
                <w:rFonts w:ascii="Garamond" w:hAnsi="Garamond" w:eastAsia="Garamond"/>
                <w:color w:val="004389"/>
                <w:sz w:val="16"/>
              </w:rPr>
              <w:t xml:space="preserve">Prix honoraires exclus : 400 000 €</w:t>
            </w:r>
          </w:p>
        </w:tc>
        <w:tc>
          <w:tcPr>
            <w:tcW w:w="5487" w:type="dxa"/>
            <w:shd w:val="clear" w:fill="auto"/>
            <w:vAlign w:val="center"/>
          </w:tcPr>
          <w:p>
            <w:pPr>
              <w:pStyle w:val="[Normal]"/>
              <w:jc w:val="center"/>
              <w:rPr>
                <w:rFonts w:ascii="Garamond" w:hAnsi="Garamond" w:eastAsia="Garamond"/>
                <w:b w:val="on"/>
                <w:color w:val="004389"/>
              </w:rPr>
            </w:pPr>
            <w:r>
              <w:rPr>
                <w:rFonts w:ascii="Garamond" w:hAnsi="Garamond" w:eastAsia="Garamond"/>
                <w:b w:val="on"/>
                <w:color w:val="004389"/>
              </w:rPr>
              <w:t xml:space="preserve">Magnifique situation pour cette propriété avec une maison de plain-pied et sa dépendance</w:t>
            </w:r>
          </w:p>
        </w:tc>
      </w:tr>
    </w:tbl>
    <w:p>
      <w:pPr>
        <w:pStyle w:val="[Normal]"/>
        <w:jc w:val="center"/>
        <w:rPr>
          <w:sz w:val="4"/>
        </w:rPr>
      </w:pPr>
    </w:p>
    <w:tbl>
      <w:tblPr>
        <w:tblW w:w="0" w:type="auto"/>
        <w:jc w:val="left"/>
        <w:tblInd w:w="33"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2715"/>
        <w:gridCol w:w="8040"/>
      </w:tblGrid>
      <w:tr>
        <w:trPr>
          <w:cantSplit/>
        </w:trPr>
        <w:tc>
          <w:tcPr>
            <w:tcW w:w="2715" w:type="dxa"/>
            <w:shd w:val="clear" w:fill="004389"/>
            <w:vAlign w:val="center"/>
          </w:tcPr>
          <w:p>
            <w:pPr>
              <w:pStyle w:val="[Normal]"/>
              <w:jc w:val="center"/>
              <w:rPr>
                <w:rFonts w:ascii="Garamond" w:hAnsi="Garamond" w:eastAsia="Garamond"/>
                <w:color w:val="FFFFFF"/>
                <w:shd w:val="clear" w:fill="004389"/>
              </w:rPr>
            </w:pPr>
            <w:r>
              <w:rPr>
                <w:rFonts w:ascii="Garamond" w:hAnsi="Garamond" w:eastAsia="Garamond"/>
                <w:b w:val="on"/>
                <w:color w:val="FFFFFF"/>
                <w:u w:val="single"/>
                <w:shd w:val="clear" w:fill="004389"/>
              </w:rPr>
              <w:t xml:space="preserve">Détails</w:t>
            </w:r>
          </w:p>
        </w:tc>
        <w:tc>
          <w:tcPr>
            <w:tcW w:w="8040" w:type="dxa"/>
            <w:shd w:val="clear" w:fill="004389"/>
            <w:vAlign w:val="center"/>
          </w:tcPr>
          <w:p>
            <w:pPr>
              <w:pStyle w:val="[Normal]"/>
              <w:jc w:val="center"/>
              <w:rPr>
                <w:rFonts w:ascii="Garamond" w:hAnsi="Garamond" w:eastAsia="Garamond"/>
                <w:b w:val="on"/>
                <w:color w:val="FFFFFF"/>
                <w:sz w:val="28"/>
                <w:u w:val="single"/>
                <w:shd w:val="clear" w:fill="004389"/>
              </w:rPr>
            </w:pPr>
            <w:r>
              <w:rPr>
                <w:rFonts w:ascii="Garamond" w:hAnsi="Garamond" w:eastAsia="Garamond"/>
                <w:b w:val="on"/>
                <w:color w:val="FFFFFF"/>
                <w:sz w:val="28"/>
                <w:u w:val="single"/>
                <w:shd w:val="clear" w:fill="004389"/>
              </w:rPr>
              <w:t xml:space="preserve">Région ROUFFIGNAC ST CERNIN</w:t>
            </w:r>
          </w:p>
        </w:tc>
      </w:tr>
      <w:tr>
        <w:tc>
          <w:tcPr>
            <w:tcW w:w="2715" w:type="dxa"/>
            <w:shd w:val="clear" w:fill="auto"/>
            <w:vAlign w:val="top"/>
          </w:tcPr>
          <w:p>
            <w:pPr>
              <w:pStyle w:val="[Normal]"/>
              <w:rPr>
                <w:rFonts w:ascii="Garamond" w:hAnsi="Garamond" w:eastAsia="Garamond"/>
                <w:sz w:val="2"/>
              </w:rPr>
            </w:pPr>
          </w:p>
          <w:p>
            <w:pPr>
              <w:pStyle w:val="Type de détail"/>
            </w:pPr>
            <w:r>
              <w:t xml:space="preserve">Rez de chaussée:</w:t>
            </w:r>
          </w:p>
          <w:p>
            <w:pPr>
              <w:pStyle w:val="Détail"/>
              <w:numPr>
                <w:ilvl w:val="0"/>
                <w:numId w:val="3"/>
              </w:numPr>
            </w:pPr>
            <w:r>
              <w:t xml:space="preserve">Buanderie de 2,5m².</w:t>
            </w:r>
          </w:p>
          <w:p>
            <w:pPr>
              <w:pStyle w:val="Détail"/>
              <w:numPr>
                <w:ilvl w:val="0"/>
                <w:numId w:val="3"/>
              </w:numPr>
            </w:pPr>
            <w:r>
              <w:t xml:space="preserve">Cellier de 3,5m².</w:t>
            </w:r>
          </w:p>
          <w:p>
            <w:pPr>
              <w:pStyle w:val="Détail"/>
              <w:numPr>
                <w:ilvl w:val="0"/>
                <w:numId w:val="3"/>
              </w:numPr>
            </w:pPr>
            <w:r>
              <w:t xml:space="preserve">2 Chambres de 19m² et 11m².</w:t>
            </w:r>
          </w:p>
          <w:p>
            <w:pPr>
              <w:pStyle w:val="Détail"/>
              <w:numPr>
                <w:ilvl w:val="0"/>
                <w:numId w:val="3"/>
              </w:numPr>
            </w:pPr>
            <w:r>
              <w:t xml:space="preserve">Pièce à vivre de 50m² avec insert et sol en terre cuite.</w:t>
            </w:r>
          </w:p>
          <w:p>
            <w:pPr>
              <w:pStyle w:val="Détail"/>
              <w:numPr>
                <w:ilvl w:val="0"/>
                <w:numId w:val="3"/>
              </w:numPr>
            </w:pPr>
            <w:r>
              <w:t xml:space="preserve">Salle de bains de 11m² avec baignoire, douche, lavabo et wc.</w:t>
            </w:r>
          </w:p>
          <w:p>
            <w:pPr>
              <w:pStyle w:val="Détail"/>
              <w:numPr>
                <w:ilvl w:val="0"/>
                <w:numId w:val="3"/>
              </w:numPr>
            </w:pPr>
            <w:r>
              <w:t xml:space="preserve">WC indépendant.</w:t>
            </w:r>
          </w:p>
          <w:p>
            <w:pPr>
              <w:pStyle w:val="Type de détail"/>
            </w:pPr>
            <w:r>
              <w:t xml:space="preserve">Dépendances:</w:t>
            </w:r>
          </w:p>
          <w:p>
            <w:pPr>
              <w:pStyle w:val="Détail"/>
              <w:numPr>
                <w:ilvl w:val="0"/>
                <w:numId w:val="3"/>
              </w:numPr>
            </w:pPr>
            <w:r>
              <w:t xml:space="preserve">Garage de 27m².</w:t>
            </w:r>
          </w:p>
          <w:p>
            <w:pPr>
              <w:pStyle w:val="Détail"/>
              <w:numPr>
                <w:ilvl w:val="0"/>
                <w:numId w:val="3"/>
              </w:numPr>
            </w:pPr>
            <w:r>
              <w:t xml:space="preserve">Maison d'amis avec pièce de stockage de 30m² au rez-de-chaussée et une chambre mansardée avec salle d'eau de 20m² à l'étage.</w:t>
            </w:r>
          </w:p>
          <w:p>
            <w:pPr>
              <w:pStyle w:val="Type de détail"/>
            </w:pPr>
            <w:r>
              <w:t xml:space="preserve">Chauffage:</w:t>
            </w:r>
          </w:p>
          <w:p>
            <w:pPr>
              <w:pStyle w:val="Détail"/>
              <w:numPr>
                <w:ilvl w:val="0"/>
                <w:numId w:val="3"/>
              </w:numPr>
            </w:pPr>
            <w:r>
              <w:t xml:space="preserve">Electrique + bois.</w:t>
            </w:r>
          </w:p>
          <w:p>
            <w:pPr>
              <w:pStyle w:val="Type de détail"/>
            </w:pPr>
            <w:r>
              <w:t xml:space="preserve">Equipements divers:</w:t>
            </w:r>
          </w:p>
          <w:p>
            <w:pPr>
              <w:pStyle w:val="Détail"/>
              <w:numPr>
                <w:ilvl w:val="0"/>
                <w:numId w:val="3"/>
              </w:numPr>
            </w:pPr>
            <w:r>
              <w:t xml:space="preserve">5 Citerne de récupération des eaux de pluie (40 000 litres).</w:t>
            </w:r>
          </w:p>
          <w:p>
            <w:pPr>
              <w:pStyle w:val="Détail"/>
              <w:numPr>
                <w:ilvl w:val="0"/>
                <w:numId w:val="3"/>
              </w:numPr>
            </w:pPr>
            <w:r>
              <w:t xml:space="preserve">Double vitrage.</w:t>
            </w:r>
          </w:p>
          <w:p>
            <w:pPr>
              <w:pStyle w:val="Détail"/>
              <w:numPr>
                <w:ilvl w:val="0"/>
                <w:numId w:val="3"/>
              </w:numPr>
            </w:pPr>
            <w:r>
              <w:t xml:space="preserve">Fosse septique.</w:t>
            </w:r>
          </w:p>
          <w:p>
            <w:pPr>
              <w:pStyle w:val="Détail"/>
              <w:numPr>
                <w:ilvl w:val="0"/>
                <w:numId w:val="3"/>
              </w:numPr>
            </w:pPr>
            <w:r>
              <w:t xml:space="preserve">Production eau chaude solaire.</w:t>
            </w:r>
          </w:p>
          <w:p>
            <w:pPr>
              <w:pStyle w:val="Type de détail"/>
            </w:pPr>
            <w:r>
              <w:t xml:space="preserve">Services:</w:t>
            </w:r>
          </w:p>
          <w:p>
            <w:pPr>
              <w:pStyle w:val="Détail"/>
              <w:numPr>
                <w:ilvl w:val="0"/>
                <w:numId w:val="3"/>
              </w:numPr>
            </w:pPr>
            <w:r>
              <w:t xml:space="preserve">Ville la plus proche : Rouffignac.</w:t>
            </w:r>
          </w:p>
          <w:p>
            <w:pPr>
              <w:pStyle w:val="Détail"/>
              <w:numPr>
                <w:ilvl w:val="0"/>
                <w:numId w:val="3"/>
              </w:numPr>
            </w:pPr>
            <w:r>
              <w:t xml:space="preserve">Calme.</w:t>
            </w:r>
          </w:p>
          <w:p>
            <w:pPr>
              <w:pStyle w:val="Détail"/>
              <w:numPr>
                <w:ilvl w:val="0"/>
                <w:numId w:val="3"/>
              </w:numPr>
            </w:pPr>
            <w:r>
              <w:t xml:space="preserve">Chambre d'hôtes.</w:t>
            </w:r>
          </w:p>
          <w:p>
            <w:pPr>
              <w:pStyle w:val="Détail"/>
              <w:numPr>
                <w:ilvl w:val="0"/>
                <w:numId w:val="3"/>
              </w:numPr>
            </w:pPr>
            <w:r>
              <w:t xml:space="preserve">Commerces de proximité à 5 minutes.</w:t>
            </w:r>
          </w:p>
          <w:p>
            <w:pPr>
              <w:pStyle w:val="Détail"/>
              <w:numPr>
                <w:ilvl w:val="0"/>
                <w:numId w:val="3"/>
              </w:numPr>
            </w:pPr>
            <w:r>
              <w:t xml:space="preserve">Dépendance.</w:t>
            </w:r>
          </w:p>
          <w:p>
            <w:pPr>
              <w:pStyle w:val="Détail"/>
              <w:numPr>
                <w:ilvl w:val="0"/>
                <w:numId w:val="3"/>
              </w:numPr>
            </w:pPr>
            <w:r>
              <w:t xml:space="preserve">Ecole à 5 minutes.</w:t>
            </w:r>
          </w:p>
          <w:p>
            <w:pPr>
              <w:pStyle w:val="Détail"/>
              <w:numPr>
                <w:ilvl w:val="0"/>
                <w:numId w:val="3"/>
              </w:numPr>
            </w:pPr>
            <w:r>
              <w:t xml:space="preserve">Internet / ADSL.</w:t>
            </w:r>
          </w:p>
          <w:p>
            <w:pPr>
              <w:pStyle w:val="Détail"/>
              <w:numPr>
                <w:ilvl w:val="0"/>
                <w:numId w:val="3"/>
              </w:numPr>
            </w:pPr>
            <w:r>
              <w:t xml:space="preserve">Puits, source ou citerne.</w:t>
            </w:r>
          </w:p>
          <w:p>
            <w:pPr>
              <w:pStyle w:val="Détail"/>
              <w:numPr>
                <w:ilvl w:val="0"/>
                <w:numId w:val="3"/>
              </w:numPr>
            </w:pPr>
            <w:r>
              <w:t xml:space="preserve">Vue.</w:t>
            </w:r>
          </w:p>
          <w:p>
            <w:pPr>
              <w:pStyle w:val="Détail"/>
              <w:numPr>
                <w:ilvl w:val="0"/>
                <w:numId w:val="3"/>
              </w:numPr>
            </w:pPr>
            <w:r>
              <w:t xml:space="preserve">Plain-pied.</w:t>
            </w:r>
          </w:p>
          <w:p>
            <w:pPr>
              <w:pStyle w:val="Type de détail"/>
            </w:pPr>
            <w:r>
              <w:t xml:space="preserve">Terrain:</w:t>
            </w:r>
          </w:p>
          <w:p>
            <w:pPr>
              <w:pStyle w:val="Détail"/>
              <w:numPr>
                <w:ilvl w:val="0"/>
                <w:numId w:val="3"/>
              </w:numPr>
            </w:pPr>
            <w:r>
              <w:t xml:space="preserve">Arboré.</w:t>
            </w:r>
          </w:p>
          <w:p>
            <w:pPr>
              <w:pStyle w:val="Détail"/>
              <w:numPr>
                <w:ilvl w:val="0"/>
                <w:numId w:val="3"/>
              </w:numPr>
            </w:pPr>
            <w:r>
              <w:t xml:space="preserve">Constructible en partie.</w:t>
            </w:r>
          </w:p>
          <w:p>
            <w:pPr>
              <w:pStyle w:val="Détail"/>
              <w:numPr>
                <w:ilvl w:val="0"/>
                <w:numId w:val="3"/>
              </w:numPr>
            </w:pPr>
            <w:r>
              <w:t xml:space="preserve">prairie.</w:t>
            </w:r>
          </w:p>
          <w:p>
            <w:pPr>
              <w:pStyle w:val="Type de détail"/>
            </w:pPr>
            <w:r>
              <w:t xml:space="preserve">Toiture:</w:t>
            </w:r>
          </w:p>
          <w:p>
            <w:pPr>
              <w:pStyle w:val="Détail"/>
              <w:numPr>
                <w:ilvl w:val="0"/>
                <w:numId w:val="3"/>
              </w:numPr>
            </w:pPr>
            <w:r>
              <w:t xml:space="preserve">Tuiles avec isolation en fibre de bois.</w:t>
            </w:r>
          </w:p>
          <w:p>
            <w:pPr>
              <w:pStyle w:val="Type de détail"/>
            </w:pPr>
            <w:r>
              <w:t xml:space="preserve">Vue:</w:t>
            </w:r>
          </w:p>
          <w:p>
            <w:pPr>
              <w:pStyle w:val="Détail"/>
              <w:numPr>
                <w:ilvl w:val="0"/>
                <w:numId w:val="3"/>
              </w:numPr>
            </w:pPr>
            <w:r>
              <w:t xml:space="preserve">Dégagée</w:t>
            </w:r>
          </w:p>
        </w:tc>
        <w:tc>
          <w:tcPr>
            <w:tcW w:w="8040" w:type="dxa"/>
            <w:shd w:val="clear" w:fill="auto"/>
            <w:vAlign w:val="center"/>
          </w:tcPr>
          <w:tbl>
            <w:tblPr>
              <w:tblW w:w="0" w:type="auto"/>
              <w:jc w:val="left"/>
              <w:tblInd w:w="27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7710"/>
            </w:tblGrid>
            <w:tr>
              <w:tc>
                <w:tcPr>
                  <w:tcW w:w="7710" w:type="dxa"/>
                  <w:shd w:val="clear" w:fill="auto"/>
                  <w:vAlign w:val="top"/>
                </w:tcPr>
                <w:p>
                  <w:pPr>
                    <w:pStyle w:val="[Normal]"/>
                    <w:jc w:val="center"/>
                    <w:rPr>
                      <w:rFonts w:ascii="Garamond" w:hAnsi="Garamond" w:eastAsia="Garamond"/>
                      <w:sz w:val="4"/>
                    </w:rPr>
                  </w:pPr>
                </w:p>
                <w:p>
                  <w:pPr>
                    <w:pStyle w:val="[Normal]"/>
                    <w:jc w:val="center"/>
                    <w:rPr>
                      <w:rFonts w:ascii="Garamond" w:hAnsi="Garamond" w:eastAsia="Garamond"/>
                    </w:rPr>
                  </w:pPr>
                  <w:r>
                    <w:drawing>
                      <wp:inline distT="0" distB="0" distL="0" distR="0">
                        <wp:extent cx="4389120" cy="2468880"/>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4389120" cy="2468880"/>
                                </a:xfrm>
                                <a:prstGeom prst="rect">
                                  <a:avLst/>
                                </a:prstGeom>
                              </pic:spPr>
                            </pic:pic>
                          </a:graphicData>
                        </a:graphic>
                      </wp:inline>
                    </w:drawing>
                  </w:r>
                </w:p>
              </w:tc>
            </w:tr>
            <w:tr>
              <w:tc>
                <w:tcPr>
                  <w:tcW w:w="7710" w:type="dxa"/>
                  <w:shd w:val="clear" w:fill="auto"/>
                  <w:vAlign w:val="top"/>
                </w:tcPr>
                <w:p>
                  <w:pPr>
                    <w:pStyle w:val="[Normal]"/>
                    <w:jc w:val="center"/>
                    <w:rPr>
                      <w:rFonts w:ascii="Garamond" w:hAnsi="Garamond" w:eastAsia="Garamond"/>
                      <w:sz w:val="4"/>
                    </w:rPr>
                  </w:pPr>
                </w:p>
              </w:tc>
            </w:tr>
            <w:tr>
              <w:tc>
                <w:tcPr>
                  <w:tcW w:w="7710" w:type="dxa"/>
                  <w:shd w:val="clear" w:fill="auto"/>
                  <w:vAlign w:val="top"/>
                </w:tcPr>
                <w:tbl>
                  <w:tblPr>
                    <w:tblW w:w="0" w:type="auto"/>
                    <w:jc w:val="left"/>
                    <w:tblInd w:w="0"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550"/>
                    <w:gridCol w:w="2550"/>
                    <w:gridCol w:w="2550"/>
                  </w:tblGrid>
                  <w:tr>
                    <w:tc>
                      <w:tcPr>
                        <w:tcW w:w="2550" w:type="dxa"/>
                        <w:shd w:val="clear" w:fill="auto"/>
                        <w:vAlign w:val="top"/>
                      </w:tcPr>
                      <w:p>
                        <w:pPr>
                          <w:pStyle w:val="[Normal]"/>
                          <w:jc w:val="center"/>
                          <w:rPr>
                            <w:rFonts w:ascii="Garamond" w:hAnsi="Garamond" w:eastAsia="Garamond"/>
                          </w:rPr>
                        </w:pPr>
                        <w:r>
                          <w:drawing>
                            <wp:inline distT="0" distB="0" distL="0" distR="0">
                              <wp:extent cx="1234440" cy="925830"/>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1234440" cy="925830"/>
                                      </a:xfrm>
                                      <a:prstGeom prst="rect">
                                        <a:avLst/>
                                      </a:prstGeom>
                                    </pic:spPr>
                                  </pic:pic>
                                </a:graphicData>
                              </a:graphic>
                            </wp:inline>
                          </w:drawing>
                        </w:r>
                      </w:p>
                    </w:tc>
                    <w:tc>
                      <w:tcPr>
                        <w:tcW w:w="2550" w:type="dxa"/>
                        <w:shd w:val="clear" w:fill="auto"/>
                        <w:vAlign w:val="top"/>
                      </w:tcPr>
                      <w:p>
                        <w:pPr>
                          <w:pStyle w:val="[Normal]"/>
                          <w:jc w:val="center"/>
                          <w:rPr>
                            <w:rFonts w:ascii="Garamond" w:hAnsi="Garamond" w:eastAsia="Garamond"/>
                          </w:rPr>
                        </w:pPr>
                        <w:r>
                          <w:drawing>
                            <wp:inline distT="0" distB="0" distL="0" distR="0">
                              <wp:extent cx="1234440" cy="92583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1234440" cy="925830"/>
                                      </a:xfrm>
                                      <a:prstGeom prst="rect">
                                        <a:avLst/>
                                      </a:prstGeom>
                                    </pic:spPr>
                                  </pic:pic>
                                </a:graphicData>
                              </a:graphic>
                            </wp:inline>
                          </w:drawing>
                        </w:r>
                      </w:p>
                    </w:tc>
                    <w:tc>
                      <w:tcPr>
                        <w:tcW w:w="2550" w:type="dxa"/>
                        <w:shd w:val="clear" w:fill="auto"/>
                        <w:vAlign w:val="top"/>
                      </w:tcPr>
                      <w:p>
                        <w:pPr>
                          <w:pStyle w:val="[Normal]"/>
                          <w:jc w:val="center"/>
                          <w:rPr>
                            <w:rFonts w:ascii="Garamond" w:hAnsi="Garamond" w:eastAsia="Garamond"/>
                          </w:rPr>
                        </w:pPr>
                        <w:r>
                          <w:drawing>
                            <wp:inline distT="0" distB="0" distL="0" distR="0">
                              <wp:extent cx="1280160" cy="72009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1280160" cy="720090"/>
                                      </a:xfrm>
                                      <a:prstGeom prst="rect">
                                        <a:avLst/>
                                      </a:prstGeom>
                                    </pic:spPr>
                                  </pic:pic>
                                </a:graphicData>
                              </a:graphic>
                            </wp:inline>
                          </w:drawing>
                        </w:r>
                      </w:p>
                    </w:tc>
                  </w:tr>
                </w:tbl>
                <w:p/>
              </w:tc>
            </w:tr>
            <w:tr>
              <w:tc>
                <w:tcPr>
                  <w:tcW w:w="7710" w:type="dxa"/>
                  <w:shd w:val="clear" w:fill="auto"/>
                  <w:vAlign w:val="top"/>
                </w:tcPr>
                <w:p>
                  <w:pPr>
                    <w:pStyle w:val="[Normal]"/>
                    <w:jc w:val="center"/>
                    <w:rPr>
                      <w:rFonts w:ascii="Garamond" w:hAnsi="Garamond" w:eastAsia="Garamond"/>
                      <w:sz w:val="4"/>
                    </w:rPr>
                  </w:pPr>
                </w:p>
              </w:tc>
            </w:tr>
            <w:tr>
              <w:tc>
                <w:tcPr>
                  <w:tcW w:w="7710" w:type="dxa"/>
                  <w:shd w:val="clear" w:fill="auto"/>
                  <w:vAlign w:val="top"/>
                </w:tcPr>
                <w:p>
                  <w:pPr>
                    <w:pStyle w:val="[Normal]"/>
                    <w:jc w:val="center"/>
                    <w:rPr>
                      <w:rFonts w:ascii="Garamond" w:hAnsi="Garamond" w:eastAsia="Garamond"/>
                      <w:sz w:val="4"/>
                    </w:rPr>
                  </w:pPr>
                </w:p>
                <w:p>
                  <w:pPr>
                    <w:pStyle w:val="[Normal]"/>
                    <w:jc w:val="center"/>
                    <w:rPr>
                      <w:rFonts w:ascii="Garamond" w:hAnsi="Garamond" w:eastAsia="Garamond"/>
                    </w:rPr>
                  </w:pPr>
                  <w:r>
                    <w:rPr>
                      <w:rFonts w:ascii="Garamond" w:hAnsi="Garamond" w:eastAsia="Garamond"/>
                    </w:rPr>
                    <w:t xml:space="preserve">Dans un environnement remarquable et offrant une vue dégagée à 180°, cette maison construite en 1992 vous offrira un cadre paisible pour y vivre proche de la nature. Elle offre une centaine de mètres carrés habitables avec une très belle pièce à vivre ouverte sur l'extérieur, ainsi que deux chambres, une salle de bains, un cellier et une buanderie. La dépendance, véritable atout de la propriété, vous permettra d'accueillir famille ou amis en toute intimité grâce à sa chambre déjà aménagée à l'étage, ou la possibilité de la transformer en habitation avec la pièce restant à aménager au rez-de-chaussée.</w:t>
                  </w:r>
                </w:p>
                <w:p>
                  <w:pPr>
                    <w:pStyle w:val="[Normal]"/>
                    <w:jc w:val="center"/>
                    <w:rPr>
                      <w:rFonts w:ascii="Garamond" w:hAnsi="Garamond" w:eastAsia="Garamond"/>
                    </w:rPr>
                  </w:pPr>
                  <w:r>
                    <w:rPr>
                      <w:rFonts w:ascii="Garamond" w:hAnsi="Garamond" w:eastAsia="Garamond"/>
                    </w:rPr>
                    <w:t xml:space="preserve">Les plus : </w:t>
                  </w:r>
                </w:p>
                <w:p>
                  <w:pPr>
                    <w:pStyle w:val="[Normal]"/>
                    <w:jc w:val="center"/>
                    <w:rPr>
                      <w:rFonts w:ascii="Garamond" w:hAnsi="Garamond" w:eastAsia="Garamond"/>
                    </w:rPr>
                  </w:pPr>
                  <w:r>
                    <w:rPr>
                      <w:rFonts w:ascii="Garamond" w:hAnsi="Garamond" w:eastAsia="Garamond"/>
                    </w:rPr>
                    <w:t xml:space="preserve">- Diverses cuves de récupération des eaux de pluie sont réparties sur la propriété.</w:t>
                  </w:r>
                </w:p>
                <w:p>
                  <w:pPr>
                    <w:pStyle w:val="[Normal]"/>
                    <w:jc w:val="center"/>
                    <w:rPr>
                      <w:rFonts w:ascii="Garamond" w:hAnsi="Garamond" w:eastAsia="Garamond"/>
                    </w:rPr>
                  </w:pPr>
                  <w:r>
                    <w:rPr>
                      <w:rFonts w:ascii="Garamond" w:hAnsi="Garamond" w:eastAsia="Garamond"/>
                    </w:rPr>
                    <w:t xml:space="preserve">- Une partie du terrain (environ 3200m²) est encore constructible sur les 4500m² à disposition.</w:t>
                  </w:r>
                </w:p>
                <w:p>
                  <w:pPr>
                    <w:pStyle w:val="[Normal]"/>
                    <w:jc w:val="center"/>
                    <w:rPr>
                      <w:rFonts w:ascii="Garamond" w:hAnsi="Garamond" w:eastAsia="Garamond"/>
                    </w:rPr>
                  </w:pPr>
                  <w:r>
                    <w:rPr>
                      <w:rFonts w:ascii="Garamond" w:hAnsi="Garamond" w:eastAsia="Garamond"/>
                    </w:rPr>
                    <w:t xml:space="preserve">Chauffage au bois et électrique - assainissement individuel. </w:t>
                  </w:r>
                </w:p>
                <w:p>
                  <w:pPr>
                    <w:pStyle w:val="[Normal]"/>
                    <w:jc w:val="center"/>
                    <w:rPr>
                      <w:rFonts w:ascii="Garamond" w:hAnsi="Garamond" w:eastAsia="Garamond"/>
                    </w:rPr>
                  </w:pPr>
                  <w:r>
                    <w:rPr>
                      <w:rFonts w:ascii="Garamond" w:hAnsi="Garamond" w:eastAsia="Garamond"/>
                    </w:rPr>
                    <w:t xml:space="preserve">Les informations sur les risques auxquels ce bien est exposé sont disponibles sur le site Géorisques: www.georisques.gouv.fr</w:t>
                  </w:r>
                </w:p>
              </w:tc>
            </w:tr>
            <w:tr>
              <w:tc>
                <w:tcPr>
                  <w:tcW w:w="7710" w:type="dxa"/>
                  <w:tcBorders>
                    <w:bottom w:val="nil"/>
                  </w:tcBorders>
                  <w:shd w:val="clear" w:fill="auto"/>
                  <w:vAlign w:val="top"/>
                </w:tcPr>
                <w:p>
                  <w:pPr>
                    <w:pStyle w:val="[Normal]"/>
                    <w:jc w:val="center"/>
                    <w:rPr>
                      <w:rFonts w:ascii="Garamond" w:hAnsi="Garamond" w:eastAsia="Garamond"/>
                      <w:sz w:val="4"/>
                    </w:rPr>
                  </w:pPr>
                </w:p>
              </w:tc>
            </w:tr>
          </w:tbl>
          <w:tbl>
            <w:tblPr>
              <w:tblW w:w="0" w:type="auto"/>
              <w:jc w:val="left"/>
              <w:tblInd w:w="255"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3535"/>
              <w:gridCol w:w="4190"/>
            </w:tblGrid>
            <w:tr>
              <w:tc>
                <w:tcPr>
                  <w:tcW w:w="3535" w:type="dxa"/>
                  <w:tcBorders>
                    <w:top w:val="nil"/>
                  </w:tcBorders>
                  <w:shd w:val="clear" w:fill="auto"/>
                  <w:vAlign w:val="top"/>
                </w:tcPr>
                <w:p>
                  <w:pPr>
                    <w:pStyle w:val="[Normal]"/>
                    <w:rPr>
                      <w:rFonts w:ascii="Garamond" w:hAnsi="Garamond" w:eastAsia="Garamond"/>
                    </w:rPr>
                  </w:pPr>
                  <w:r>
                    <w:rPr>
                      <w:rFonts w:ascii="Garamond" w:hAnsi="Garamond" w:eastAsia="Garamond"/>
                      <w:b w:val="on"/>
                      <w:sz w:val="20"/>
                      <w:u w:val="single"/>
                    </w:rPr>
                    <w:t xml:space="preserve">Surface habitable</w:t>
                  </w:r>
                  <w:r>
                    <w:rPr>
                      <w:rFonts w:ascii="Garamond" w:hAnsi="Garamond" w:eastAsia="Garamond"/>
                      <w:sz w:val="20"/>
                    </w:rPr>
                    <w:t xml:space="preserve"> : 120 m² </w:t>
                  </w:r>
                </w:p>
                <w:p>
                  <w:pPr>
                    <w:pStyle w:val="Normal"/>
                    <w:rPr>
                      <w:rFonts w:ascii="Garamond" w:hAnsi="Garamond" w:eastAsia="Garamond"/>
                    </w:rPr>
                  </w:pPr>
                  <w:r>
                    <w:rPr>
                      <w:rFonts w:ascii="Garamond" w:hAnsi="Garamond" w:eastAsia="Garamond"/>
                      <w:b w:val="on"/>
                      <w:u w:val="single"/>
                    </w:rPr>
                    <w:t xml:space="preserve">Surface terrain</w:t>
                  </w:r>
                  <w:r>
                    <w:rPr>
                      <w:rFonts w:ascii="Garamond" w:hAnsi="Garamond" w:eastAsia="Garamond"/>
                    </w:rPr>
                    <w:t xml:space="preserve"> : 4 511  m²</w:t>
                  </w:r>
                </w:p>
              </w:tc>
              <w:tc>
                <w:tcPr>
                  <w:tcW w:w="4190" w:type="dxa"/>
                  <w:tcBorders>
                    <w:top w:val="nil"/>
                  </w:tcBorders>
                  <w:shd w:val="clear" w:fill="auto"/>
                  <w:vAlign w:val="top"/>
                </w:tcPr>
                <w:p>
                  <w:pPr>
                    <w:pStyle w:val="Normal"/>
                    <w:tabs>
                      <w:tab w:val="left" w:pos="3995"/>
                      <w:tab w:val="right" w:pos="7567"/>
                    </w:tabs>
                    <w:rPr>
                      <w:rFonts w:ascii="Garamond" w:hAnsi="Garamond" w:eastAsia="Garamond"/>
                    </w:rPr>
                  </w:pPr>
                  <w:r>
                    <w:rPr>
                      <w:rFonts w:ascii="Garamond" w:hAnsi="Garamond" w:eastAsia="Garamond"/>
                      <w:b w:val="on"/>
                      <w:u w:val="single"/>
                    </w:rPr>
                    <w:t xml:space="preserve">Nombre de chambres</w:t>
                  </w:r>
                  <w:r>
                    <w:rPr>
                      <w:rFonts w:ascii="Garamond" w:hAnsi="Garamond" w:eastAsia="Garamond"/>
                    </w:rPr>
                    <w:t xml:space="preserve"> : 3</w:t>
                  </w:r>
                </w:p>
                <w:p>
                  <w:pPr>
                    <w:pStyle w:val="Normal"/>
                    <w:rPr>
                      <w:rFonts w:ascii="Garamond" w:hAnsi="Garamond" w:eastAsia="Garamond"/>
                    </w:rPr>
                  </w:pPr>
                  <w:r>
                    <w:rPr>
                      <w:rFonts w:ascii="Garamond" w:hAnsi="Garamond" w:eastAsia="Garamond"/>
                      <w:b w:val="on"/>
                      <w:u w:val="single"/>
                    </w:rPr>
                    <w:t xml:space="preserve">Surface du séjour</w:t>
                  </w:r>
                  <w:r>
                    <w:rPr>
                      <w:rFonts w:ascii="Garamond" w:hAnsi="Garamond" w:eastAsia="Garamond"/>
                    </w:rPr>
                    <w:t xml:space="preserve"> : 50 m²</w:t>
                  </w:r>
                </w:p>
              </w:tc>
            </w:tr>
            <w:tr>
              <w:tc>
                <w:tcPr>
                  <w:tcW w:w="3535" w:type="dxa"/>
                  <w:shd w:val="clear" w:fill="auto"/>
                  <w:vAlign w:val="top"/>
                </w:tcPr>
                <w:p>
                  <w:pPr>
                    <w:pStyle w:val="Normal"/>
                    <w:rPr>
                      <w:rFonts w:ascii="Garamond" w:hAnsi="Garamond" w:eastAsia="Garamond"/>
                      <w:sz w:val="4"/>
                    </w:rPr>
                  </w:pPr>
                </w:p>
              </w:tc>
              <w:tc>
                <w:tcPr>
                  <w:tcW w:w="4190" w:type="dxa"/>
                  <w:shd w:val="clear" w:fill="auto"/>
                  <w:vAlign w:val="top"/>
                </w:tcPr>
                <w:p>
                  <w:pPr>
                    <w:pStyle w:val="[Normal]"/>
                    <w:jc w:val="center"/>
                    <w:rPr>
                      <w:rFonts w:ascii="Garamond" w:hAnsi="Garamond" w:eastAsia="Garamond"/>
                      <w:sz w:val="4"/>
                    </w:rPr>
                  </w:pPr>
                </w:p>
              </w:tc>
            </w:tr>
            <w:tr>
              <w:tc>
                <w:tcPr>
                  <w:tcW w:w="3535" w:type="dxa"/>
                  <w:shd w:val="clear" w:fill="auto"/>
                  <w:vAlign w:val="top"/>
                </w:tcPr>
                <w:p>
                  <w:pPr>
                    <w:pStyle w:val="Normal"/>
                    <w:rPr>
                      <w:rFonts w:ascii="Garamond" w:hAnsi="Garamond" w:eastAsia="Garamond"/>
                    </w:rPr>
                  </w:pPr>
                  <w:r>
                    <w:rPr>
                      <w:rFonts w:ascii="Garamond" w:hAnsi="Garamond" w:eastAsia="Garamond"/>
                      <w:b w:val="on"/>
                      <w:u w:val="single"/>
                    </w:rPr>
                    <w:t xml:space="preserve">Etat</w:t>
                  </w:r>
                  <w:r>
                    <w:rPr>
                      <w:rFonts w:ascii="Garamond" w:hAnsi="Garamond" w:eastAsia="Garamond"/>
                    </w:rPr>
                    <w:t xml:space="preserve"> : Bon	</w:t>
                  </w:r>
                  <w:r>
                    <w:rPr>
                      <w:rFonts w:ascii="Garamond" w:hAnsi="Garamond" w:eastAsia="Garamond"/>
                      <w:b w:val="on"/>
                      <w:u w:val="single"/>
                    </w:rPr>
                    <w:t xml:space="preserve">Année de construction</w:t>
                  </w:r>
                  <w:r>
                    <w:rPr>
                      <w:rFonts w:ascii="Garamond" w:hAnsi="Garamond" w:eastAsia="Garamond"/>
                    </w:rPr>
                    <w:t xml:space="preserve"> :1992</w:t>
                  </w:r>
                </w:p>
                <w:p>
                  <w:pPr>
                    <w:pStyle w:val="Normal"/>
                    <w:rPr>
                      <w:rFonts w:ascii="Garamond" w:hAnsi="Garamond" w:eastAsia="Garamond"/>
                      <w:sz w:val="10"/>
                    </w:rPr>
                  </w:pPr>
                </w:p>
                <w:p>
                  <w:pPr>
                    <w:pStyle w:val="Normal"/>
                    <w:rPr>
                      <w:rFonts w:ascii="Garamond" w:hAnsi="Garamond" w:eastAsia="Garamond"/>
                    </w:rPr>
                  </w:pPr>
                  <w:r>
                    <w:drawing>
                      <wp:inline distT="0" distB="0" distL="0" distR="0">
                        <wp:extent cx="981075" cy="861695"/>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981075" cy="861695"/>
                                </a:xfrm>
                                <a:prstGeom prst="rect">
                                  <a:avLst/>
                                </a:prstGeom>
                              </pic:spPr>
                            </pic:pic>
                          </a:graphicData>
                        </a:graphic>
                      </wp:inline>
                    </w:drawing>
                  </w:r>
                </w:p>
              </w:tc>
              <w:tc>
                <w:tcPr>
                  <w:tcW w:w="4190" w:type="dxa"/>
                  <w:shd w:val="clear" w:fill="auto"/>
                  <w:vAlign w:val="top"/>
                </w:tcPr>
                <w:p>
                  <w:pPr>
                    <w:pStyle w:val="Normal"/>
                    <w:rPr>
                      <w:rFonts w:ascii="Garamond" w:hAnsi="Garamond" w:eastAsia="Garamond"/>
                      <w:b w:val="on"/>
                    </w:rPr>
                  </w:pPr>
                  <w:r>
                    <w:rPr>
                      <w:rFonts w:ascii="Garamond" w:hAnsi="Garamond" w:eastAsia="Garamond"/>
                      <w:b w:val="on"/>
                      <w:u w:val="single"/>
                    </w:rPr>
                    <w:t xml:space="preserve">Style</w:t>
                  </w:r>
                  <w:r>
                    <w:rPr>
                      <w:rFonts w:ascii="Garamond" w:hAnsi="Garamond" w:eastAsia="Garamond"/>
                      <w:b w:val="on"/>
                    </w:rPr>
                    <w:t xml:space="preserve"> : </w:t>
                  </w:r>
                  <w:r>
                    <w:rPr>
                      <w:rFonts w:ascii="Garamond" w:hAnsi="Garamond" w:eastAsia="Garamond"/>
                    </w:rPr>
                    <w:t xml:space="preserve">Traditionnel</w:t>
                  </w:r>
                  <w:r>
                    <w:rPr>
                      <w:rFonts w:ascii="Garamond" w:hAnsi="Garamond" w:eastAsia="Garamond"/>
                      <w:b w:val="on"/>
                    </w:rPr>
                    <w:t xml:space="preserve">     </w:t>
                  </w:r>
                </w:p>
                <w:p>
                  <w:pPr>
                    <w:pStyle w:val="Normal"/>
                    <w:rPr>
                      <w:rFonts w:ascii="Garamond" w:hAnsi="Garamond" w:eastAsia="Garamond"/>
                    </w:rPr>
                  </w:pPr>
                  <w:r>
                    <w:rPr>
                      <w:rFonts w:ascii="Garamond" w:hAnsi="Garamond" w:eastAsia="Garamond"/>
                      <w:b w:val="on"/>
                      <w:u w:val="single"/>
                    </w:rPr>
                    <w:t xml:space="preserve">Taxe Foncière </w:t>
                  </w:r>
                  <w:r>
                    <w:rPr>
                      <w:rFonts w:ascii="Garamond" w:hAnsi="Garamond" w:eastAsia="Garamond"/>
                      <w:b w:val="on"/>
                    </w:rPr>
                    <w:t xml:space="preserve">:</w:t>
                  </w:r>
                  <w:r>
                    <w:rPr>
                      <w:rFonts w:ascii="Garamond" w:hAnsi="Garamond" w:eastAsia="Garamond"/>
                    </w:rPr>
                    <w:t xml:space="preserve">1 120 €</w:t>
                  </w:r>
                </w:p>
                <w:p>
                  <w:pPr>
                    <w:pStyle w:val="Normal"/>
                    <w:rPr>
                      <w:rFonts w:ascii="Garamond" w:hAnsi="Garamond" w:eastAsia="Garamond"/>
                      <w:b w:val="on"/>
                      <w:sz w:val="10"/>
                      <w:u w:val="single"/>
                    </w:rPr>
                  </w:pPr>
                </w:p>
                <w:p>
                  <w:pPr>
                    <w:pStyle w:val="Normal"/>
                    <w:rPr>
                      <w:rFonts w:ascii="Garamond" w:hAnsi="Garamond" w:eastAsia="Garamond"/>
                      <w:b w:val="on"/>
                      <w:u w:val="single"/>
                    </w:rPr>
                  </w:pPr>
                  <w:r>
                    <w:drawing>
                      <wp:inline distT="0" distB="0" distL="0" distR="0">
                        <wp:extent cx="981075" cy="880745"/>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981075" cy="880745"/>
                                </a:xfrm>
                                <a:prstGeom prst="rect">
                                  <a:avLst/>
                                </a:prstGeom>
                              </pic:spPr>
                            </pic:pic>
                          </a:graphicData>
                        </a:graphic>
                      </wp:inline>
                    </w:drawing>
                  </w:r>
                </w:p>
              </w:tc>
            </w:tr>
          </w:tbl>
          <w:p/>
        </w:tc>
      </w:tr>
    </w:tbl>
    <w:p>
      <w:pPr>
        <w:pStyle w:val="[Normal]"/>
        <w:rPr>
          <w:rFonts w:ascii="Garamond" w:hAnsi="Garamond" w:eastAsia="Garamond"/>
          <w:b w:val="on"/>
          <w:sz w:val="20"/>
          <w:u w:val="single"/>
        </w:rPr>
      </w:pPr>
    </w:p>
    <w:sectPr>
      <w:headerReference w:type="default" r:id="rId00012"/>
      <w:footerReference w:type="default" r:id="rId00013"/>
      <w:pgSz w:w="11906" w:h="16837"/>
      <w:pgMar w:top="227" w:right="567" w:bottom="227" w:left="567" w:header="1" w:footer="113"/>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sz w:val="16"/>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t xml:space="preserve">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ind w:left="363" w:hanging="193"/>
    </w:pPr>
    <w:rPr>
      <w:sz w:val="18"/>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descriptif">
    <w:name w:val="descriptif"/>
    <w:basedOn w:val="[Normal]"/>
    <w:next w:val="descriptif"/>
    <w:qFormat/>
    <w:pPr>
      <w:ind w:left="113"/>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2" Type="http://schemas.openxmlformats.org/officeDocument/2006/relationships/header" Target="header0001.xml"/>
	<Relationship Id="rId00013" Type="http://schemas.openxmlformats.org/officeDocument/2006/relationships/footer" Target="footer0001.xml"/>
	<Relationship Id="rId00011" Type="http://schemas.openxmlformats.org/officeDocument/2006/relationships/image" Target="media/image0007.jpg"/>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4" Type="http://schemas.openxmlformats.org/officeDocument/2006/relationships/numbering" Target="numbering.xml"/>
	<Relationship Id="rId00015" Type="http://schemas.openxmlformats.org/officeDocument/2006/relationships/fontTable" Target="fontTable.xml"/>
	<Relationship Id="rId0001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