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1050</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LEROY Mathieu</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Braguel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Braguel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Contemporaine construite en 2017 avec 3 chambres, sous-sol et piscine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n°2485 pour une contenance totale de 1ha 04a 67ca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DEP0938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385 000 €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23 100 €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408 100 €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Coux et Bigaroque            </w:t>
      </w:r>
      <w:r>
        <w:rPr>
          <w:rFonts w:ascii="Garamond" w:hAnsi="Garamond" w:eastAsia="Garamond"/>
          <w:b w:val="on"/>
          <w:sz w:val="24"/>
        </w:rPr>
        <w:t xml:space="preserve">  Le  </w:t>
      </w:r>
      <w:r>
        <w:rPr>
          <w:rFonts w:ascii="Garamond" w:hAnsi="Garamond" w:eastAsia="Garamond"/>
          <w:b w:val="on"/>
          <w:sz w:val="24"/>
          <w:shd w:val="clear" w:fill="C0C0C0"/>
        </w:rPr>
        <w:t xml:space="preserve">         4 octobre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LEROY   Mathieu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Braguel   -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LEROY  Mathieu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23 100 €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hd w:val="clear" w:fill="C0C0C0"/>
        </w:rPr>
        <w:t xml:space="preserve">Coux et Bigaroque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4 octobre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