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24676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COSMAR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0663820581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Terrain constructible de 1730m² sur les hauteurs avec vue dégagée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Genèbre - Sireuil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13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COSMAR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