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jpg" ContentType="image/jpeg"/>
  <Default Extension="bmp" ContentType="image/x-bmp"/>
  <Default Extension="gif" ContentType="image/gif"/>
  <Default Extension="png" ContentType="image/png"/>
  <Default Extension="tiff" ContentType="image/tiff"/>
  <Default Extension="tif" ContentType="image/tiff"/>
  <Default Extension="wmf" ContentType="image/x-wmf"/>
  <Default Extension="emf" ContentType="image/x-emf"/>
  <Default Extension="bin" ContentType="application/vnd.openxmlformats-officedocument.oleObject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header0001.xml" ContentType="application/vnd.openxmlformats-officedocument.wordprocessingml.header+xml"/>
  <Override PartName="/word/footer0001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 standalone="yes"?>
<Relationships xmlns="http://schemas.openxmlformats.org/package/2006/relationships">
	<Relationship Id="rId00001" Type="http://schemas.openxmlformats.org/officeDocument/2006/relationships/officeDocument" Target="word/document.xml"/>
	<Relationship Id="rId00002" Type="http://schemas.openxmlformats.org/package/2006/relationships/metadata/core-properties" Target="docProps/core.xml"/>
	<Relationship Id="rId00003" Type="http://schemas.openxmlformats.org/officeDocument/2006/relationships/extended-properties" Target="docProps/app.xml"/>
</Relationships>
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[Normal]"/>
        <w:rPr>
          <w:b w:val="on"/>
          <w:sz w:val="6"/>
        </w:rPr>
      </w:pPr>
    </w:p>
    <w:tbl>
      <w:tblPr>
        <w:tblW w:w="0" w:type="auto"/>
        <w:jc w:val="left"/>
        <w:tblInd w:w="51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51" w:type="dxa"/>
        </w:tblCellMar>
      </w:tblPr>
      <w:tblGrid>
        <w:gridCol w:w="6153"/>
        <w:gridCol w:w="4619"/>
      </w:tblGrid>
      <w:tr>
        <w:tc>
          <w:tcPr>
            <w:tcW w:w="6153" w:type="dxa"/>
            <w:shd w:val="clear" w:fill="auto"/>
            <w:tcMar>
              <w:left w:w="51" w:type="dxa"/>
              <w:right w:w="36" w:type="dxa"/>
            </w:tcMar>
            <w:vAlign w:val="center"/>
          </w:tcPr>
          <w:tbl>
            <w:tblPr>
              <w:tblW w:w="0" w:type="auto"/>
              <w:jc w:val="left"/>
              <w:tblInd w:w="0" w:type="dxa"/>
              <w:tblBorders>
                <w:top w:val="none"/>
                <w:left w:val="none"/>
                <w:bottom w:val="none"/>
                <w:right w:val="none"/>
                <w:insideH w:val="none"/>
                <w:insideV w:val="none"/>
              </w:tblBorders>
              <w:tblLayout w:type="fixed"/>
              <w:tblCellMar>
                <w:top w:w="0" w:type="dxa"/>
                <w:left w:w="36" w:type="dxa"/>
                <w:bottom w:w="0" w:type="dxa"/>
                <w:right w:w="36" w:type="dxa"/>
              </w:tblCellMar>
            </w:tblPr>
            <w:tblGrid>
              <w:gridCol w:w="1002"/>
              <w:gridCol w:w="5064"/>
            </w:tblGrid>
            <w:tr>
              <w:tc>
                <w:tcPr>
                  <w:tcW w:w="1002" w:type="dxa"/>
                  <w:shd w:val="clear" w:fill="auto"/>
                  <w:vAlign w:val="center"/>
                </w:tcPr>
                <w:p>
                  <w:pPr>
                    <w:pStyle w:val="[Normal]"/>
                    <w:rPr>
                      <w:b w:val="on"/>
                      <w:color w:val="000080"/>
                      <w:sz w:val="22"/>
                    </w:rPr>
                  </w:pPr>
                  <w:r>
                    <w:rPr>
                      <w:b w:val="on"/>
                      <w:color w:val="000080"/>
                      <w:sz w:val="22"/>
                    </w:rPr>
                    <w:t xml:space="preserve">Phone</w:t>
                  </w:r>
                </w:p>
              </w:tc>
              <w:tc>
                <w:tcPr>
                  <w:tcW w:w="5064" w:type="dxa"/>
                  <w:shd w:val="clear" w:fill="auto"/>
                  <w:vAlign w:val="center"/>
                </w:tcPr>
                <w:p>
                  <w:pPr>
                    <w:pStyle w:val="[Normal]"/>
                    <w:rPr>
                      <w:b w:val="on"/>
                      <w:color w:val="000080"/>
                      <w:sz w:val="22"/>
                    </w:rPr>
                  </w:pPr>
                  <w:r>
                    <w:rPr>
                      <w:b w:val="on"/>
                      <w:color w:val="000080"/>
                      <w:sz w:val="22"/>
                    </w:rPr>
                    <w:t xml:space="preserve">: +33 (0)5 53 07 06 27</w:t>
                  </w:r>
                </w:p>
              </w:tc>
            </w:tr>
            <w:tr>
              <w:tc>
                <w:tcPr>
                  <w:tcW w:w="1002" w:type="dxa"/>
                  <w:shd w:val="clear" w:fill="auto"/>
                  <w:vAlign w:val="center"/>
                </w:tcPr>
                <w:p>
                  <w:pPr>
                    <w:pStyle w:val="[Normal]"/>
                    <w:rPr>
                      <w:b w:val="on"/>
                      <w:color w:val="000080"/>
                      <w:sz w:val="22"/>
                    </w:rPr>
                  </w:pPr>
                  <w:r>
                    <w:rPr>
                      <w:b w:val="on"/>
                      <w:color w:val="000080"/>
                      <w:sz w:val="22"/>
                    </w:rPr>
                    <w:t xml:space="preserve">Email</w:t>
                  </w:r>
                </w:p>
              </w:tc>
              <w:tc>
                <w:tcPr>
                  <w:tcW w:w="5064" w:type="dxa"/>
                  <w:shd w:val="clear" w:fill="auto"/>
                  <w:vAlign w:val="center"/>
                </w:tcPr>
                <w:p>
                  <w:pPr>
                    <w:pStyle w:val="[Normal]"/>
                    <w:rPr>
                      <w:b w:val="on"/>
                      <w:color w:val="000080"/>
                      <w:sz w:val="22"/>
                    </w:rPr>
                  </w:pPr>
                  <w:r>
                    <w:rPr>
                      <w:b w:val="on"/>
                      <w:color w:val="000080"/>
                      <w:sz w:val="22"/>
                    </w:rPr>
                    <w:t xml:space="preserve">: info@pioneerfrance.com</w:t>
                  </w:r>
                </w:p>
              </w:tc>
            </w:tr>
            <w:tr>
              <w:tc>
                <w:tcPr>
                  <w:tcW w:w="1002" w:type="dxa"/>
                  <w:shd w:val="clear" w:fill="auto"/>
                  <w:vAlign w:val="center"/>
                </w:tcPr>
                <w:p>
                  <w:pPr>
                    <w:pStyle w:val="[Normal]"/>
                    <w:rPr>
                      <w:b w:val="on"/>
                      <w:color w:val="000080"/>
                      <w:sz w:val="22"/>
                    </w:rPr>
                  </w:pPr>
                  <w:r>
                    <w:rPr>
                      <w:b w:val="on"/>
                      <w:color w:val="000080"/>
                      <w:sz w:val="22"/>
                    </w:rPr>
                    <w:t xml:space="preserve">Web</w:t>
                  </w:r>
                </w:p>
              </w:tc>
              <w:tc>
                <w:tcPr>
                  <w:tcW w:w="5064" w:type="dxa"/>
                  <w:shd w:val="clear" w:fill="auto"/>
                  <w:vAlign w:val="center"/>
                </w:tcPr>
                <w:p>
                  <w:pPr>
                    <w:pStyle w:val="[Normal]"/>
                    <w:rPr>
                      <w:b w:val="on"/>
                      <w:color w:val="000080"/>
                      <w:sz w:val="22"/>
                    </w:rPr>
                  </w:pPr>
                  <w:r>
                    <w:rPr>
                      <w:b w:val="on"/>
                      <w:color w:val="000080"/>
                      <w:sz w:val="22"/>
                    </w:rPr>
                    <w:t xml:space="preserve">:  www.PioneerFrance.com</w:t>
                  </w:r>
                </w:p>
              </w:tc>
            </w:tr>
          </w:tbl>
          <w:p>
            <w:pPr>
              <w:pStyle w:val="[Normal]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</w:rPr>
              <w:t xml:space="preserve"> </w:t>
            </w:r>
          </w:p>
          <w:p>
            <w:pPr>
              <w:pStyle w:val="[Normal]"/>
              <w:rPr>
                <w:sz w:val="22"/>
              </w:rPr>
            </w:pPr>
            <w:r>
              <w:rPr>
                <w:b w:val="on"/>
                <w:color w:val="000080"/>
                <w:sz w:val="22"/>
              </w:rPr>
              <w:t xml:space="preserve">Domaine Le Ruisseau , 24580, Fleurac, Dordogne</w:t>
            </w:r>
          </w:p>
        </w:tc>
        <w:tc>
          <w:tcPr>
            <w:tcW w:w="4619" w:type="dxa"/>
            <w:shd w:val="clear" w:fill="auto"/>
            <w:vAlign w:val="center"/>
          </w:tcPr>
          <w:p>
            <w:pPr>
              <w:pStyle w:val="[Normal]"/>
              <w:jc w:val="center"/>
              <w:rPr>
                <w:sz w:val="22"/>
              </w:rPr>
            </w:pPr>
            <w:r>
              <w:drawing>
                <wp:inline distT="0" distB="0" distL="0" distR="0">
                  <wp:extent cx="2743200" cy="990600"/>
                  <wp:docPr id="1" name="_tx_id_1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/>
                        </pic:nvPicPr>
                        <pic:blipFill>
                          <a:blip r:embed="rId000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[Normal]"/>
        <w:rPr>
          <w:sz w:val="22"/>
        </w:rPr>
      </w:pPr>
    </w:p>
    <w:tbl>
      <w:tblPr>
        <w:tblW w:w="0" w:type="auto"/>
        <w:jc w:val="left"/>
        <w:tblInd w:w="36" w:type="dxa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36" w:type="dxa"/>
        </w:tblCellMar>
      </w:tblPr>
      <w:tblGrid>
        <w:gridCol w:w="10772"/>
      </w:tblGrid>
      <w:tr>
        <w:tc>
          <w:tcPr>
            <w:tcW w:w="10772" w:type="dxa"/>
            <w:shd w:val="clear" w:fill="000080"/>
            <w:vAlign w:val="top"/>
          </w:tcPr>
          <w:p>
            <w:pPr>
              <w:pStyle w:val="[Normal]"/>
              <w:jc w:val="center"/>
              <w:rPr>
                <w:b w:val="on"/>
                <w:sz w:val="22"/>
              </w:rPr>
            </w:pPr>
          </w:p>
          <w:p>
            <w:pPr>
              <w:pStyle w:val="[Normal]"/>
              <w:jc w:val="center"/>
              <w:rPr>
                <w:b w:val="on"/>
                <w:sz w:val="22"/>
              </w:rPr>
            </w:pPr>
            <w:r>
              <w:rPr>
                <w:b w:val="on"/>
                <w:color w:val="FFFFFF"/>
                <w:sz w:val="22"/>
              </w:rPr>
              <w:t xml:space="preserve">THE DORDOGNE'S LEADING QUALITY PROPERTY AGENCY</w:t>
            </w:r>
          </w:p>
          <w:p>
            <w:pPr>
              <w:pStyle w:val="[Normal]"/>
              <w:jc w:val="center"/>
              <w:rPr>
                <w:b w:val="on"/>
                <w:sz w:val="22"/>
              </w:rPr>
            </w:pPr>
          </w:p>
        </w:tc>
      </w:tr>
    </w:tbl>
    <w:p>
      <w:pPr>
        <w:pStyle w:val="[Normal]"/>
        <w:rPr>
          <w:b w:val="on"/>
          <w:sz w:val="22"/>
        </w:rPr>
      </w:pPr>
    </w:p>
    <w:tbl>
      <w:tblPr>
        <w:tblW w:w="0" w:type="auto"/>
        <w:jc w:val="left"/>
        <w:tblInd w:w="51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none"/>
          <w:insideV w:val="single" w:sz="6" w:space="0" w:color="auto"/>
        </w:tblBorders>
        <w:tblLayout w:type="fixed"/>
        <w:tblCellMar>
          <w:top w:w="0" w:type="dxa"/>
          <w:left w:w="51" w:type="dxa"/>
          <w:bottom w:w="0" w:type="dxa"/>
          <w:right w:w="51" w:type="dxa"/>
        </w:tblCellMar>
      </w:tblPr>
      <w:tblGrid>
        <w:gridCol w:w="1683"/>
        <w:gridCol w:w="2280"/>
        <w:gridCol w:w="2580"/>
        <w:gridCol w:w="2385"/>
        <w:gridCol w:w="1920"/>
      </w:tblGrid>
      <w:tr>
        <w:tc>
          <w:tcPr>
            <w:tcW w:w="1683" w:type="dxa"/>
            <w:shd w:val="clear" w:fill="auto"/>
            <w:vAlign w:val="top"/>
          </w:tcPr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  <w:u w:val="single"/>
              </w:rPr>
              <w:t xml:space="preserve">REFERENCE</w:t>
            </w: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</w:rPr>
              <w:t xml:space="preserve">PF90311</w:t>
            </w:r>
          </w:p>
        </w:tc>
        <w:tc>
          <w:tcPr>
            <w:tcW w:w="2280" w:type="dxa"/>
            <w:shd w:val="clear" w:fill="auto"/>
            <w:vAlign w:val="top"/>
          </w:tcPr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  <w:u w:val="single"/>
              </w:rPr>
              <w:t xml:space="preserve">PRICE</w:t>
            </w:r>
            <w:r>
              <w:rPr>
                <w:b w:val="on"/>
                <w:color w:val="000080"/>
                <w:sz w:val="22"/>
              </w:rPr>
              <w:t xml:space="preserve"> </w:t>
            </w:r>
            <w:r>
              <w:rPr>
                <w:b w:val="on"/>
                <w:color w:val="000080"/>
                <w:sz w:val="14"/>
              </w:rPr>
              <w:t xml:space="preserve">(inc.agency comm)</w:t>
            </w: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</w:rPr>
              <w:t xml:space="preserve">299,950 € </w:t>
            </w:r>
          </w:p>
        </w:tc>
        <w:tc>
          <w:tcPr>
            <w:tcW w:w="2580" w:type="dxa"/>
            <w:shd w:val="clear" w:fill="auto"/>
            <w:vAlign w:val="top"/>
          </w:tcPr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  <w:u w:val="single"/>
              </w:rPr>
              <w:t xml:space="preserve">LOCATION</w:t>
            </w: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</w:rPr>
              <w:t xml:space="preserve">DORDOGNE - </w:t>
            </w: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</w:rPr>
              <w:t xml:space="preserve">MONTIGNAC AREA</w:t>
            </w:r>
          </w:p>
        </w:tc>
        <w:tc>
          <w:tcPr>
            <w:tcW w:w="2385" w:type="dxa"/>
            <w:shd w:val="clear" w:fill="auto"/>
            <w:vAlign w:val="top"/>
          </w:tcPr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  <w:u w:val="single"/>
              </w:rPr>
              <w:t xml:space="preserve">TYPE</w:t>
            </w: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</w:rPr>
            </w:pPr>
            <w:r>
              <w:rPr>
                <w:b w:val="on"/>
                <w:color w:val="000080"/>
                <w:sz w:val="22"/>
              </w:rPr>
              <w:t xml:space="preserve">House / Character property</w:t>
            </w:r>
          </w:p>
        </w:tc>
        <w:tc>
          <w:tcPr>
            <w:tcW w:w="1920" w:type="dxa"/>
            <w:shd w:val="clear" w:fill="auto"/>
            <w:vAlign w:val="top"/>
          </w:tcPr>
          <w:p>
            <w:pPr>
              <w:pStyle w:val="[Normal]"/>
              <w:jc w:val="center"/>
              <w:rPr>
                <w:b w:val="on"/>
                <w:color w:val="000080"/>
                <w:sz w:val="22"/>
                <w:u w:val="single"/>
              </w:rPr>
            </w:pPr>
            <w:r>
              <w:rPr>
                <w:b w:val="on"/>
                <w:color w:val="000080"/>
                <w:sz w:val="22"/>
                <w:u w:val="single"/>
              </w:rPr>
              <w:t xml:space="preserve">LAND AREA</w:t>
            </w: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  <w:u w:val="single"/>
              </w:rPr>
            </w:pPr>
          </w:p>
          <w:p>
            <w:pPr>
              <w:pStyle w:val="[Normal]"/>
              <w:jc w:val="center"/>
              <w:rPr>
                <w:b w:val="on"/>
                <w:color w:val="000080"/>
                <w:sz w:val="22"/>
                <w:u w:val="single"/>
              </w:rPr>
            </w:pPr>
            <w:r>
              <w:rPr>
                <w:b w:val="on"/>
                <w:color w:val="000080"/>
                <w:sz w:val="22"/>
              </w:rPr>
              <w:t xml:space="preserve">1,753 m2</w:t>
            </w:r>
          </w:p>
        </w:tc>
      </w:tr>
    </w:tbl>
    <w:p>
      <w:pPr>
        <w:pStyle w:val="[Normal]"/>
        <w:rPr>
          <w:b w:val="on"/>
          <w:sz w:val="22"/>
        </w:rPr>
      </w:pPr>
    </w:p>
    <w:tbl>
      <w:tblPr>
        <w:tblW w:w="0" w:type="auto"/>
        <w:jc w:val="left"/>
        <w:tblInd w:w="36" w:type="dxa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36" w:type="dxa"/>
        </w:tblCellMar>
      </w:tblPr>
      <w:tblGrid>
        <w:gridCol w:w="10772"/>
      </w:tblGrid>
      <w:tr>
        <w:tc>
          <w:tcPr>
            <w:tcW w:w="10772" w:type="dxa"/>
            <w:shd w:val="clear" w:fill="auto"/>
            <w:vAlign w:val="top"/>
          </w:tcPr>
          <w:p>
            <w:pPr>
              <w:pStyle w:val="[Normal]"/>
              <w:jc w:val="center"/>
              <w:rPr>
                <w:b w:val="on"/>
                <w:sz w:val="22"/>
              </w:rPr>
            </w:pPr>
            <w:r>
              <w:rPr>
                <w:rFonts w:ascii="Times New Roman" w:hAnsi="Times New Roman" w:eastAsia="Times New Roman"/>
                <w:b w:val="on"/>
                <w:i w:val="on"/>
                <w:sz w:val="26"/>
              </w:rPr>
              <w:t xml:space="preserve">SUPERBLY RENOVATED 3-BED STONE PROPERTY IN A CHARMING HAMLET NEAR MONTIGNAC.  NEW HEATED SWIMMING POOL, GARAGE, CHALET AND STONE OUTBUILDINGS, LARGE GARDENS. PF90311</w:t>
            </w:r>
          </w:p>
        </w:tc>
      </w:tr>
    </w:tbl>
    <w:p>
      <w:pPr>
        <w:pStyle w:val="[Normal]"/>
        <w:rPr>
          <w:b w:val="on"/>
          <w:sz w:val="22"/>
        </w:rPr>
      </w:pPr>
    </w:p>
    <w:tbl>
      <w:tblPr>
        <w:tblW w:w="0" w:type="auto"/>
        <w:jc w:val="left"/>
        <w:tblInd w:w="36" w:type="dxa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36" w:type="dxa"/>
        </w:tblCellMar>
      </w:tblPr>
      <w:tblGrid>
        <w:gridCol w:w="10772"/>
      </w:tblGrid>
      <w:tr>
        <w:tc>
          <w:tcPr>
            <w:tcW w:w="10772" w:type="dxa"/>
            <w:shd w:val="clear" w:fill="auto"/>
            <w:vAlign w:val="top"/>
          </w:tcPr>
          <w:p>
            <w:pPr>
              <w:pStyle w:val="[Normal]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6035040" cy="4526280"/>
                  <wp:docPr id="2" name="_tx_id_2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/>
                        </pic:nvPicPr>
                        <pic:blipFill>
                          <a:blip r:embed="rId00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040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spacing w:before="100" w:after="100"/>
        <w:rPr>
          <w:b w:val="on"/>
          <w:sz w:val="22"/>
          <w:u w:val="single"/>
        </w:rPr>
      </w:pPr>
      <w:r>
        <w:rPr>
          <w:rFonts w:ascii="Times New Roman" w:hAnsi="Times New Roman" w:eastAsia="Times New Roman"/>
          <w:b w:val="on"/>
          <w:i w:val="on"/>
          <w:sz w:val="28"/>
        </w:rPr>
        <w:t xml:space="preserve">In a peaceful, pretty hamlet only 10 minutes from Montignac, this beautiful stone property has been entirely and thoughtfully renovated. Offering circa 110sqm habitable space, there are 3 double-bedrooms, one en-suite, a 2nd shower room, large kitchen &amp; dining room, and a lovely living room. The property has a newly installed travertine-terraced, heated swimming pool, a self-contained chalet, a 2-storey stone barn and sheep-pens to convert if desired, plus a large garage. Mature well-maintained fenced gardens. PF90311</w:t>
      </w:r>
      <w:r>
        <w:rPr>
          <w:b w:val="on"/>
          <w:sz w:val="22"/>
        </w:rPr>
        <w:br w:type="page"/>
      </w:r>
      <w:r>
        <w:rPr>
          <w:b w:val="on"/>
          <w:sz w:val="22"/>
          <w:u w:val="single"/>
        </w:rPr>
        <w:t xml:space="preserve">PROPERTY DESCRIPTION</w:t>
      </w:r>
      <w:r>
        <w:rPr>
          <w:sz w:val="22"/>
        </w:rPr>
        <w:t xml:space="preserve">  (</w:t>
      </w:r>
      <w:r>
        <w:rPr>
          <w:b w:val="on"/>
          <w:sz w:val="22"/>
        </w:rPr>
        <w:t xml:space="preserve"> </w:t>
      </w:r>
      <w:r>
        <w:rPr>
          <w:b w:val="on"/>
          <w:sz w:val="22"/>
          <w:u w:val="single"/>
        </w:rPr>
        <w:t xml:space="preserve">Ref</w:t>
      </w:r>
      <w:r>
        <w:rPr>
          <w:sz w:val="22"/>
        </w:rPr>
        <w:t xml:space="preserve"> : </w:t>
      </w:r>
      <w:r>
        <w:rPr>
          <w:b w:val="on"/>
          <w:sz w:val="22"/>
        </w:rPr>
        <w:t xml:space="preserve">PF90311</w:t>
      </w:r>
      <w:r>
        <w:rPr>
          <w:sz w:val="22"/>
        </w:rPr>
        <w:t xml:space="preserve">)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line="240" w:lineRule="auto"/>
      </w:pPr>
      <w:r>
        <w:rPr>
          <w:b w:val="on"/>
          <w:color w:val="222222"/>
          <w:sz w:val="28"/>
          <w:shd w:val="clear" w:fill="FFFFFF"/>
        </w:rPr>
        <w:t xml:space="preserve">SUPERBLY RENOVATED 3-BED STONE PROPERTY IN A CHARMING HAMLET NEAR MONTIGNAC. NEW HEATED SWIMMING POOL, GARAGE, CHALET AND STONE OUTBUILDINGS, LARGE GARDENS. PF90311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line="240" w:lineRule="auto"/>
      </w:pPr>
      <w:r>
        <w:br w:type="textWrapping"/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line="240" w:lineRule="auto"/>
      </w:pPr>
      <w:r>
        <w:rPr>
          <w:color w:val="222222"/>
          <w:sz w:val="28"/>
          <w:shd w:val="clear" w:fill="FFFFFF"/>
        </w:rPr>
        <w:t xml:space="preserve">In a peaceful, pretty hamlet yet only 10 minutes from Montignac, this beautiful stone property has been entirely and thoughtfully renovated. Offering circa 110sqm habitable space, there are 3 double-bedrooms, one en-suite, a 2nd shower room, large kitchen &amp; dining room, and a lovely living room. The property has a newly installed travertine-terraced, heated swimming pool, a self-contained chalet, a 2-storey stone barn and sheep-pens to convert if desired, plus a large garage. Mature well-maintained fenced gardens. PF90311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THE MAIN HOUSE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Habitable Space: approx 110sqm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t xml:space="preserve">Accessed via a short iris-lined grassy driveway with a stone wall to one side. The house is offered in superb, newly refurbished condition, while retaining many period features. It has electric heating and 2 wood-burning stoves. All windows are new and double-glazed. The roof has been refurbished and the guttering and down-pipes are all new. There are 2 electric water heaters, one for the bathrooms and one for the kitchen. All interior doors, including most cupboard doors are solid oak and have been hand-made.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Ground Floor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Entrance Hall: 3sqm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t xml:space="preserve">Two steps down to: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Kitchen/Dining Room 30sqm </w:t>
      </w:r>
      <w:r>
        <w:t xml:space="preserve">Terracotta tiled floor, exposed beams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Dining Room</w:t>
      </w:r>
      <w:r>
        <w:t xml:space="preserve">: (16sqm) Double doors opening onto garden. Traditional circular Godin wood burner, understairs utility storage cupboard, additional low-level cupboards.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Kitchen: </w:t>
      </w:r>
      <w:r>
        <w:t xml:space="preserve">(14sqm) Range of attractive lower &amp; upper-level cabinets, stainless steel sink with drainer, hob, oven, extractor fan, washing machine, dishwasher, fridge-freezer. Traditional stone sink set into wall.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t xml:space="preserve">From Entrance Hall, 2 steps up to: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Living Room: 21sqm </w:t>
      </w:r>
      <w:r>
        <w:t xml:space="preserve">Terracotta tiled floors &amp; exposed beams, double aspect, large chimney breast with wood burning stove, recessed bookshelves.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t xml:space="preserve">From Entrance Hall: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Shower Room: 3sqm </w:t>
      </w:r>
      <w:r>
        <w:t xml:space="preserve">Shower unit, sink with drawers below, WC, mirrored cabinet, heated towel rail, large cupboard housing water heater.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t xml:space="preserve">From the living room, stairs up to:</w:t>
        <w:br w:type="textWrapping"/>
      </w:r>
      <w:r>
        <w:br w:type="textWrapping"/>
      </w:r>
      <w:r>
        <w:rPr>
          <w:b w:val="on"/>
        </w:rPr>
        <w:t xml:space="preserve">First Floor: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Master Bedroom: 17.0sqm </w:t>
      </w:r>
      <w:r>
        <w:t xml:space="preserve">Double aspect with views over garden. Parquet floor &amp; exposed beams. Hanging storage area into eaves.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t xml:space="preserve">Steps down to: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En-suite Bathroom: 5sqm </w:t>
      </w:r>
      <w:r>
        <w:t xml:space="preserve">Bath with shower attachment and glass shower screen, sink unit with drawers below, WC, extractor fan.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t xml:space="preserve">From the dining Room, stairs to First Floor: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Landing: 6sqm</w:t>
      </w:r>
      <w:r>
        <w:t xml:space="preserve"> with recessed cupboards with hanging and shelving storage.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Bedroom 2: 14sqm </w:t>
      </w:r>
      <w:r>
        <w:t xml:space="preserve">Bright room with parquet floor &amp; exposed beams. Attractive (&amp; useful) wooden shelf along length of room. Fitted cupboard with shelving &amp; hanging space.Roof-top views of hamlet.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Bedroom 3: 10sqm </w:t>
      </w:r>
      <w:r>
        <w:t xml:space="preserve">Parquet floor, exposed beams, windows overlooking garden.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GARDENS &amp; OUTBUILDINGS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Garage/Barn: 24sqm </w:t>
      </w:r>
      <w:r>
        <w:t xml:space="preserve">Spacious.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Stone Barn: 22sqm ground floor area with a second floor. New roof </w:t>
      </w:r>
      <w:r>
        <w:t xml:space="preserve">recently fitted. Could potentially be converted to a 2-storey property (from ground level to apex of roof is approximately 5.8m) subject to permissions.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2 Traditional stone sheep pens: 6.7sqm &amp; 9.2sqm. </w:t>
      </w:r>
      <w:r>
        <w:t xml:space="preserve">Exposed stone walls. These could potentially be opened to create a part-covered parking area, amongst other things.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Wooden Chalet/Cabin: 12sqm </w:t>
      </w:r>
      <w:r>
        <w:t xml:space="preserve">Located slightly above the house in the garden, in excellent condition, with new roof, windows, shutters, linoleum floor, electricity.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Swimming Pool: 4mx2.5m </w:t>
      </w:r>
      <w:r>
        <w:t xml:space="preserve">Very pretty, newly installed (2024), heated (heat pump) swimming pool with travertine terrace, bathing/paddling ledge and corner steps. Salt electrolysis filtration system. Electric retractable thermic cover. Railing around terrace.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Gardens and Land </w:t>
      </w:r>
      <w:r>
        <w:t xml:space="preserve">(total land surface area 1753sqm</w:t>
      </w:r>
      <w:r>
        <w:rPr>
          <w:b w:val="on"/>
        </w:rPr>
        <w:t xml:space="preserve">) </w:t>
      </w:r>
      <w:r>
        <w:t xml:space="preserve">Mainly laid to lawn in front of the house with flower borders. To the side and above the house the garden is terraced with old and attractive stone walls &amp; artifacts remaining. Planted with flowering shrubs and trees. Further up is a large grassy area. New fencing to the rear &amp; side.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GENERAL INFORMATION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Area of outstanding natural beauty, 10 mins to Montignac (and Lascaux!).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Elevated, peaceful location with far-reaching views.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Bakery 5 mins.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Off-street parking for 3 cars.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Fibre Internet installed.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Fenced garden.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Great opportunity to purchase a newly refurbished traditional property, but with potential to renovate outbuildings.</w:t>
      </w:r>
    </w:p>
    <w:p>
      <w:pPr>
        <w:pStyle w:val="BODY"/>
        <w:numPr>
          <w:ilvl w:val="0"/>
          <w:numId w:val="2"/>
        </w:numPr>
        <w:tabs>
          <w:tab w:val="left" w:pos="0"/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</w:tabs>
        <w:spacing w:after="160" w:line="259" w:lineRule="auto"/>
        <w:ind w:left="360" w:hanging="360"/>
      </w:pPr>
      <w:r>
        <w:t xml:space="preserve">Excellent Gite income potential</w:t>
      </w:r>
    </w:p>
    <w:p>
      <w:pPr>
        <w:pStyle w:val="BODY"/>
        <w:tabs>
          <w:tab w:val="left" w:pos="1134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  <w:tab w:val="left" w:pos="10206"/>
          <w:tab w:val="left" w:pos="11340"/>
          <w:tab w:val="left" w:pos="12474"/>
          <w:tab w:val="left" w:pos="13608"/>
          <w:tab w:val="left" w:pos="14742"/>
          <w:tab w:val="left" w:pos="15876"/>
        </w:tabs>
        <w:spacing w:after="160" w:line="259" w:lineRule="auto"/>
      </w:pPr>
      <w:r>
        <w:rPr>
          <w:b w:val="on"/>
        </w:rPr>
        <w:t xml:space="preserve">REF: PF90311</w:t>
      </w:r>
    </w:p>
    <w:p>
      <w:pPr>
        <w:pStyle w:val="Normal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spacing w:before="100" w:after="100"/>
        <w:rPr>
          <w:b w:val="on"/>
          <w:sz w:val="22"/>
        </w:rPr>
      </w:pPr>
    </w:p>
    <w:p>
      <w:pPr>
        <w:pStyle w:val="Normal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spacing w:before="100" w:after="100"/>
        <w:rPr>
          <w:b w:val="on"/>
          <w:sz w:val="22"/>
        </w:rPr>
      </w:pPr>
    </w:p>
    <w:tbl>
      <w:tblPr>
        <w:tblW w:w="0" w:type="auto"/>
        <w:jc w:val="left"/>
        <w:tblInd w:w="36" w:type="dxa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36" w:type="dxa"/>
        </w:tblCellMar>
      </w:tblPr>
      <w:tblGrid>
        <w:gridCol w:w="5386"/>
        <w:gridCol w:w="5386"/>
      </w:tblGrid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3" name="_tx_id_3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000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4" name="_tx_id_4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/>
                          <pic:cNvPicPr/>
                        </pic:nvPicPr>
                        <pic:blipFill>
                          <a:blip r:embed="rId00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5" name="_tx_id_5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/>
                          <pic:cNvPicPr/>
                        </pic:nvPicPr>
                        <pic:blipFill>
                          <a:blip r:embed="rId000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6" name="_tx_id_6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"/>
                          <pic:cNvPicPr/>
                        </pic:nvPicPr>
                        <pic:blipFill>
                          <a:blip r:embed="rId000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7" name="_tx_id_7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7"/>
                          <pic:cNvPicPr/>
                        </pic:nvPicPr>
                        <pic:blipFill>
                          <a:blip r:embed="rId000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8" name="_tx_id_8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"/>
                          <pic:cNvPicPr/>
                        </pic:nvPicPr>
                        <pic:blipFill>
                          <a:blip r:embed="rId00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9" name="_tx_id_9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9"/>
                          <pic:cNvPicPr/>
                        </pic:nvPicPr>
                        <pic:blipFill>
                          <a:blip r:embed="rId00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0" name="_tx_id_10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0"/>
                          <pic:cNvPicPr/>
                        </pic:nvPicPr>
                        <pic:blipFill>
                          <a:blip r:embed="rId000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1" name="_tx_id_11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1"/>
                          <pic:cNvPicPr/>
                        </pic:nvPicPr>
                        <pic:blipFill>
                          <a:blip r:embed="rId00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2" name="_tx_id_12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2"/>
                          <pic:cNvPicPr/>
                        </pic:nvPicPr>
                        <pic:blipFill>
                          <a:blip r:embed="rId000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3" name="_tx_id_13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3"/>
                          <pic:cNvPicPr/>
                        </pic:nvPicPr>
                        <pic:blipFill>
                          <a:blip r:embed="rId00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4" name="_tx_id_14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4"/>
                          <pic:cNvPicPr/>
                        </pic:nvPicPr>
                        <pic:blipFill>
                          <a:blip r:embed="rId00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5" name="_tx_id_15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5"/>
                          <pic:cNvPicPr/>
                        </pic:nvPicPr>
                        <pic:blipFill>
                          <a:blip r:embed="rId000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6" name="_tx_id_16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6"/>
                          <pic:cNvPicPr/>
                        </pic:nvPicPr>
                        <pic:blipFill>
                          <a:blip r:embed="rId00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7" name="_tx_id_17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7"/>
                          <pic:cNvPicPr/>
                        </pic:nvPicPr>
                        <pic:blipFill>
                          <a:blip r:embed="rId000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8" name="_tx_id_18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8"/>
                          <pic:cNvPicPr/>
                        </pic:nvPicPr>
                        <pic:blipFill>
                          <a:blip r:embed="rId000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19" name="_tx_id_19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"/>
                          <pic:cNvPicPr/>
                        </pic:nvPicPr>
                        <pic:blipFill>
                          <a:blip r:embed="rId00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20" name="_tx_id_20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"/>
                          <pic:cNvPicPr/>
                        </pic:nvPicPr>
                        <pic:blipFill>
                          <a:blip r:embed="rId000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21" name="_tx_id_21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1"/>
                          <pic:cNvPicPr/>
                        </pic:nvPicPr>
                        <pic:blipFill>
                          <a:blip r:embed="rId000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22" name="_tx_id_22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2"/>
                          <pic:cNvPicPr/>
                        </pic:nvPicPr>
                        <pic:blipFill>
                          <a:blip r:embed="rId00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23" name="_tx_id_23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"/>
                          <pic:cNvPicPr/>
                        </pic:nvPicPr>
                        <pic:blipFill>
                          <a:blip r:embed="rId000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3200400" cy="2400300"/>
                  <wp:docPr id="24" name="_tx_id_24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"/>
                          <pic:cNvPicPr/>
                        </pic:nvPicPr>
                        <pic:blipFill>
                          <a:blip r:embed="rId000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drawing>
                <wp:inline distT="0" distB="0" distL="0" distR="0">
                  <wp:extent cx="1828800" cy="2438400"/>
                  <wp:docPr id="25" name="_tx_id_25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"/>
                          <pic:cNvPicPr/>
                        </pic:nvPicPr>
                        <pic:blipFill>
                          <a:blip r:embed="rId000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26" name="_tx_id_26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"/>
                          <pic:cNvPicPr/>
                        </pic:nvPicPr>
                        <pic:blipFill>
                          <a:blip r:embed="rId00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27" name="_tx_id_27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7"/>
                          <pic:cNvPicPr/>
                        </pic:nvPicPr>
                        <pic:blipFill>
                          <a:blip r:embed="rId000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28" name="_tx_id_28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8"/>
                          <pic:cNvPicPr/>
                        </pic:nvPicPr>
                        <pic:blipFill>
                          <a:blip r:embed="rId00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29" name="_tx_id_29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9"/>
                          <pic:cNvPicPr/>
                        </pic:nvPicPr>
                        <pic:blipFill>
                          <a:blip r:embed="rId00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30" name="_tx_id_30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0"/>
                          <pic:cNvPicPr/>
                        </pic:nvPicPr>
                        <pic:blipFill>
                          <a:blip r:embed="rId000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31" name="_tx_id_31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1"/>
                          <pic:cNvPicPr/>
                        </pic:nvPicPr>
                        <pic:blipFill>
                          <a:blip r:embed="rId000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32" name="_tx_id_32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2"/>
                          <pic:cNvPicPr/>
                        </pic:nvPicPr>
                        <pic:blipFill>
                          <a:blip r:embed="rId000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33" name="_tx_id_33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3"/>
                          <pic:cNvPicPr/>
                        </pic:nvPicPr>
                        <pic:blipFill>
                          <a:blip r:embed="rId000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34" name="_tx_id_34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4"/>
                          <pic:cNvPicPr/>
                        </pic:nvPicPr>
                        <pic:blipFill>
                          <a:blip r:embed="rId000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35" name="_tx_id_35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5"/>
                          <pic:cNvPicPr/>
                        </pic:nvPicPr>
                        <pic:blipFill>
                          <a:blip r:embed="rId000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3200400" cy="2400300"/>
                  <wp:docPr id="36" name="_tx_id_36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6"/>
                          <pic:cNvPicPr/>
                        </pic:nvPicPr>
                        <pic:blipFill>
                          <a:blip r:embed="rId00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spacing w:before="100" w:after="100"/>
        <w:rPr>
          <w:b w:val="on"/>
          <w:sz w:val="6"/>
        </w:rPr>
      </w:pPr>
    </w:p>
    <w:p>
      <w:pPr>
        <w:pStyle w:val="Normal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spacing w:before="100" w:after="100"/>
        <w:rPr>
          <w:b w:val="on"/>
          <w:sz w:val="8"/>
        </w:rPr>
      </w:pPr>
      <w:r>
        <w:rPr>
          <w:b w:val="on"/>
          <w:sz w:val="22"/>
        </w:rPr>
        <w:br w:type="page"/>
      </w:r>
    </w:p>
    <w:tbl>
      <w:tblPr>
        <w:tblW w:w="0" w:type="auto"/>
        <w:jc w:val="left"/>
        <w:tblInd w:w="36" w:type="dxa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36" w:type="dxa"/>
        </w:tblCellMar>
      </w:tblPr>
      <w:tblGrid>
        <w:gridCol w:w="10743"/>
      </w:tblGrid>
      <w:tr>
        <w:tc>
          <w:tcPr>
            <w:tcW w:w="10743" w:type="dxa"/>
            <w:tcBorders>
              <w:bottom w:val="nil"/>
            </w:tcBorders>
            <w:shd w:val="clear" w:fill="auto"/>
            <w:vAlign w:val="top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KEY DETAILS</w:t>
            </w:r>
            <w:r>
              <w:rPr>
                <w:b w:val="on"/>
                <w:sz w:val="22"/>
              </w:rPr>
              <w:t xml:space="preserve"> ( Ref </w:t>
            </w:r>
            <w:r>
              <w:rPr>
                <w:sz w:val="22"/>
              </w:rPr>
              <w:t xml:space="preserve">. : </w:t>
            </w:r>
            <w:r>
              <w:rPr>
                <w:b w:val="on"/>
                <w:sz w:val="22"/>
              </w:rPr>
              <w:t xml:space="preserve">PF90311</w:t>
            </w:r>
            <w:r>
              <w:rPr>
                <w:sz w:val="22"/>
              </w:rPr>
              <w:t xml:space="preserve">)</w:t>
            </w:r>
            <w:r>
              <w:rPr>
                <w:b w:val="on"/>
                <w:sz w:val="22"/>
              </w:rPr>
              <w:t xml:space="preserve"> :</w:t>
            </w:r>
          </w:p>
        </w:tc>
      </w:tr>
    </w:tbl>
    <w:tbl>
      <w:tblPr>
        <w:tblW w:w="0" w:type="auto"/>
        <w:jc w:val="left"/>
        <w:tblInd w:w="36" w:type="dxa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36" w:type="dxa"/>
        </w:tblCellMar>
      </w:tblPr>
      <w:tblGrid>
        <w:gridCol w:w="5386"/>
        <w:gridCol w:w="5386"/>
      </w:tblGrid>
      <w:tr>
        <w:tc>
          <w:tcPr>
            <w:tcW w:w="5386" w:type="dxa"/>
            <w:tcBorders>
              <w:top w:val="nil"/>
            </w:tcBorders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  <w:u w:val="single"/>
              </w:rPr>
            </w:pPr>
          </w:p>
        </w:tc>
        <w:tc>
          <w:tcPr>
            <w:tcW w:w="5386" w:type="dxa"/>
            <w:tcBorders>
              <w:top w:val="nil"/>
            </w:tcBorders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  <w:u w:val="single"/>
              </w:rPr>
            </w:pPr>
          </w:p>
        </w:tc>
      </w:tr>
      <w:tr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Total living space</w:t>
            </w:r>
            <w:r>
              <w:rPr>
                <w:b w:val="on"/>
                <w:sz w:val="22"/>
              </w:rPr>
              <w:t xml:space="preserve"> : 110 Sqm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Land area</w:t>
            </w:r>
            <w:r>
              <w:rPr>
                <w:b w:val="on"/>
                <w:sz w:val="22"/>
              </w:rPr>
              <w:t xml:space="preserve"> : 1,753 Sqm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Heating</w:t>
            </w:r>
            <w:r>
              <w:rPr>
                <w:b w:val="on"/>
                <w:sz w:val="22"/>
              </w:rPr>
              <w:t xml:space="preserve"> : Electricity &amp; Wood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Energy Efficiency</w:t>
            </w:r>
            <w:r>
              <w:rPr>
                <w:b w:val="on"/>
                <w:sz w:val="22"/>
              </w:rPr>
              <w:t xml:space="preserve"> : </w:t>
            </w:r>
          </w:p>
        </w:tc>
        <w:tc>
          <w:tcPr>
            <w:tcW w:w="5386" w:type="dxa"/>
            <w:shd w:val="clear" w:fill="auto"/>
            <w:vAlign w:val="center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Nearest town</w:t>
            </w:r>
            <w:r>
              <w:rPr>
                <w:b w:val="on"/>
                <w:sz w:val="22"/>
              </w:rPr>
              <w:t xml:space="preserve"> :  MONTIGNAC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Nearest commerce</w:t>
            </w:r>
            <w:r>
              <w:rPr>
                <w:b w:val="on"/>
                <w:sz w:val="22"/>
              </w:rPr>
              <w:t xml:space="preserve"> :  5 MINS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Nearest autoroute</w:t>
            </w:r>
            <w:r>
              <w:rPr>
                <w:b w:val="on"/>
                <w:sz w:val="22"/>
              </w:rPr>
              <w:t xml:space="preserve"> :  A89/A20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Nearest airport</w:t>
            </w:r>
            <w:r>
              <w:rPr>
                <w:b w:val="on"/>
                <w:sz w:val="22"/>
              </w:rPr>
              <w:t xml:space="preserve"> :  BERGERAC &amp; BRIVE</w:t>
            </w:r>
          </w:p>
        </w:tc>
      </w:tr>
    </w:tbl>
    <w:p>
      <w:pPr>
        <w:pStyle w:val="Normal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spacing w:before="100" w:after="100"/>
        <w:rPr>
          <w:b w:val="on"/>
          <w:sz w:val="8"/>
        </w:rPr>
      </w:pPr>
    </w:p>
    <w:tbl>
      <w:tblPr>
        <w:tblW w:w="0" w:type="auto"/>
        <w:jc w:val="left"/>
        <w:tblInd w:w="36" w:type="dxa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  <w:tblCellMar>
          <w:top w:w="0" w:type="dxa"/>
          <w:left w:w="36" w:type="dxa"/>
          <w:bottom w:w="0" w:type="dxa"/>
          <w:right w:w="36" w:type="dxa"/>
        </w:tblCellMar>
      </w:tblPr>
      <w:tblGrid>
        <w:gridCol w:w="5386"/>
        <w:gridCol w:w="5386"/>
      </w:tblGrid>
      <w:tr>
        <w:tc>
          <w:tcPr>
            <w:tcW w:w="5386" w:type="dxa"/>
            <w:shd w:val="clear" w:fill="auto"/>
            <w:vAlign w:val="top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color w:val="E60000"/>
                <w:sz w:val="30"/>
              </w:rPr>
            </w:pP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rPr>
                <w:b w:val="on"/>
                <w:color w:val="E60000"/>
                <w:sz w:val="30"/>
              </w:rPr>
              <w:t xml:space="preserve">PIONEER FRANCE CAN </w:t>
              <w:br w:type="textWrapping"/>
            </w:r>
            <w:r>
              <w:rPr>
                <w:b w:val="on"/>
                <w:color w:val="E60000"/>
                <w:sz w:val="30"/>
              </w:rPr>
              <w:t xml:space="preserve">ASSIST YOU WITH :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6"/>
              </w:rPr>
            </w:pPr>
            <w:r>
              <w:rPr>
                <w:b w:val="on"/>
                <w:color w:val="E60000"/>
                <w:sz w:val="28"/>
              </w:rPr>
              <w:t xml:space="preserve">€ </w:t>
            </w:r>
            <w:r>
              <w:rPr>
                <w:b w:val="on"/>
                <w:sz w:val="28"/>
              </w:rPr>
              <w:t xml:space="preserve">Foreign Currency Exchange</w:t>
            </w:r>
            <w:r>
              <w:rPr>
                <w:b w:val="on"/>
                <w:sz w:val="22"/>
              </w:rPr>
              <w:br w:type="textWrapping"/>
            </w:r>
            <w:r>
              <w:rPr>
                <w:b w:val="on"/>
                <w:sz w:val="18"/>
              </w:rPr>
              <w:t xml:space="preserve">the best rates : the best service</w:t>
              <w:br w:type="textWrapping"/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color w:val="000000"/>
                <w:sz w:val="6"/>
              </w:rPr>
            </w:pPr>
            <w:r>
              <w:rPr>
                <w:b w:val="on"/>
                <w:color w:val="E60000"/>
                <w:sz w:val="28"/>
              </w:rPr>
              <w:t xml:space="preserve">€ </w:t>
            </w:r>
            <w:r>
              <w:rPr>
                <w:b w:val="on"/>
                <w:color w:val="000000"/>
                <w:sz w:val="28"/>
              </w:rPr>
              <w:t xml:space="preserve">Mortgage and Loan Facilities</w:t>
            </w:r>
            <w:r>
              <w:rPr>
                <w:b w:val="on"/>
                <w:color w:val="E60000"/>
                <w:sz w:val="28"/>
              </w:rPr>
              <w:br w:type="textWrapping"/>
            </w:r>
            <w:r>
              <w:rPr>
                <w:b w:val="on"/>
                <w:color w:val="000000"/>
                <w:sz w:val="18"/>
              </w:rPr>
              <w:t xml:space="preserve">pre-qualified, top lenders</w:t>
              <w:br w:type="textWrapping"/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color w:val="000000"/>
                <w:sz w:val="18"/>
              </w:rPr>
            </w:pPr>
            <w:r>
              <w:rPr>
                <w:b w:val="on"/>
                <w:color w:val="E60000"/>
                <w:sz w:val="28"/>
              </w:rPr>
              <w:t xml:space="preserve">€ </w:t>
            </w:r>
            <w:r>
              <w:rPr>
                <w:b w:val="on"/>
                <w:color w:val="000000"/>
                <w:sz w:val="28"/>
              </w:rPr>
              <w:t xml:space="preserve">Your Total purchase process</w:t>
            </w:r>
            <w:r>
              <w:rPr>
                <w:b w:val="on"/>
                <w:color w:val="E60000"/>
                <w:sz w:val="28"/>
              </w:rPr>
              <w:br w:type="textWrapping"/>
            </w:r>
            <w:r>
              <w:rPr>
                <w:b w:val="on"/>
                <w:color w:val="000000"/>
                <w:sz w:val="18"/>
              </w:rPr>
              <w:t xml:space="preserve">a dedicated, fixed fee, total service from</w:t>
              <w:br w:type="textWrapping"/>
            </w:r>
            <w:r>
              <w:rPr>
                <w:b w:val="on"/>
                <w:color w:val="000000"/>
                <w:sz w:val="18"/>
              </w:rPr>
              <w:t xml:space="preserve"> initial offer through to post-completion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rPr>
                <w:sz w:val="28"/>
              </w:rPr>
              <w:t xml:space="preserve">Call us or see our website</w:t>
            </w:r>
            <w:r>
              <w:rPr>
                <w:b w:val="on"/>
                <w:sz w:val="22"/>
              </w:rPr>
              <w:br w:type="textWrapping"/>
            </w:r>
            <w:r>
              <w:rPr>
                <w:b w:val="on"/>
                <w:color w:val="E60000"/>
                <w:sz w:val="22"/>
              </w:rPr>
              <w:t xml:space="preserve">www.PioneerFrance.com</w:t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drawing>
                <wp:inline distT="0" distB="0" distL="0" distR="0">
                  <wp:extent cx="1504950" cy="542925"/>
                  <wp:docPr id="37" name="_tx_id_37_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7"/>
                          <pic:cNvPicPr/>
                        </pic:nvPicPr>
                        <pic:blipFill>
                          <a:blip r:embed="rId00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</w:p>
        </w:tc>
        <w:tc>
          <w:tcPr>
            <w:tcW w:w="5386" w:type="dxa"/>
            <w:shd w:val="clear" w:fill="auto"/>
            <w:vAlign w:val="top"/>
          </w:tcPr>
          <w:p>
            <w:pPr>
              <w:pStyle w:val="Normal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before="100" w:after="100"/>
              <w:jc w:val="center"/>
              <w:rPr>
                <w:b w:val="on"/>
                <w:sz w:val="22"/>
              </w:rPr>
            </w:pPr>
            <w:r>
              <w:rPr>
                <w:b w:val="on"/>
                <w:sz w:val="22"/>
                <w:u w:val="single"/>
              </w:rPr>
              <w:t xml:space="preserve">PROPERTY LOCATION MAP</w:t>
            </w:r>
            <w:r>
              <w:rPr>
                <w:sz w:val="22"/>
              </w:rPr>
              <w:t xml:space="preserve"> :</w:t>
            </w:r>
          </w:p>
        </w:tc>
      </w:tr>
    </w:tbl>
    <w:p>
      <w:pPr>
        <w:pStyle w:val="Normal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spacing w:before="100" w:after="100"/>
        <w:rPr>
          <w:b w:val="on"/>
          <w:sz w:val="22"/>
        </w:rPr>
      </w:pPr>
    </w:p>
    <w:sectPr>
      <w:headerReference w:type="default" r:id="rId00042"/>
      <w:footerReference w:type="default" r:id="rId00043"/>
      <w:pgSz w:w="11906" w:h="16838"/>
      <w:pgMar w:top="283" w:right="567" w:bottom="283" w:left="567" w:header="567" w:footer="567"/>
      <w:pgBorders w:display="allPages" w:offsetFrom="page"/>
    </w:sectPr>
  </w:body>
</w:document>
</file>

<file path=word/fontTable.xml><?xml version="1.0" encoding="utf-8"?>
<w:fonts xmlns:w="http://schemas.openxmlformats.org/wordprocessingml/2006/main">
  <w:font w:name="Arial">
    <w:charset w:val="01"/>
    <w:family w:val="swiss"/>
    <w:pitch w:val="variable"/>
  </w:font>
  <w:font w:name="Times New Roman">
    <w:charset w:val="00"/>
    <w:family w:val="roman"/>
    <w:pitch w:val="variable"/>
  </w:font>
  <w:font w:name="Symbol">
    <w:charset w:val="02"/>
    <w:family w:val="roman"/>
    <w:pitch w:val="variable"/>
  </w:font>
</w:fonts>
</file>

<file path=word/footer00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pStyle w:val="[Normal]"/>
      <w:rPr>
        <w:b w:val="on"/>
        <w:sz w:val="16"/>
      </w:rPr>
    </w:pPr>
    <w:r>
      <w:rPr>
        <w:rFonts w:ascii="Times New Roman" w:hAnsi="Times New Roman" w:eastAsia="Times New Roman"/>
      </w:rPr>
      <w:t xml:space="preserve">© </w:t>
    </w:r>
    <w:r>
      <w:rPr>
        <w:sz w:val="16"/>
      </w:rPr>
      <w:t xml:space="preserve">Copyright 2013 Pioneer France          Call </w:t>
    </w:r>
    <w:r>
      <w:rPr>
        <w:b w:val="on"/>
        <w:sz w:val="16"/>
      </w:rPr>
      <w:t xml:space="preserve">+33 (0)5 53 07 06 27</w:t>
    </w:r>
    <w:r>
      <w:rPr>
        <w:sz w:val="16"/>
      </w:rPr>
      <w:t xml:space="preserve">   -   Email </w:t>
    </w:r>
    <w:r>
      <w:rPr>
        <w:b w:val="on"/>
        <w:sz w:val="16"/>
      </w:rPr>
      <w:t xml:space="preserve">: </w:t>
    </w:r>
    <w:r>
      <w:rPr>
        <w:b w:val="on"/>
        <w:sz w:val="16"/>
      </w:rPr>
      <w:t xml:space="preserve">info@pioneerfrance.com    </w:t>
    </w:r>
    <w:r>
      <w:rPr>
        <w:sz w:val="16"/>
      </w:rPr>
      <w:t xml:space="preserve">-    Web :</w:t>
    </w:r>
    <w:r>
      <w:rPr>
        <w:b w:val="on"/>
        <w:sz w:val="16"/>
      </w:rPr>
      <w:t xml:space="preserve"> www.PioneerFrance.com</w:t>
    </w:r>
  </w:p>
</w:ftr>
</file>

<file path=word/header000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pStyle w:val="[Normal]"/>
    </w:pPr>
  </w:p>
</w:hdr>
</file>

<file path=word/numbering.xml><?xml version="1.0" encoding="utf-8"?>
<w:numbering xmlns:w="http://schemas.openxmlformats.org/wordprocessingml/2006/main">
  <w:abstractNum w:abstractNumId="0">
    <w:multiLevelType w:val="singleLevel"/>
    <w:lvl w:ilvl="0">
      <w:start w:val="1"/>
      <w:numFmt w:val="bullet"/>
      <w:pStyle w:val="Enumeration arial 10 pts"/>
      <w:suff w:val="tab"/>
      <w:lvlText w:val=""/>
      <w:pPr>
        <w:ind w:left="360" w:hanging="360"/>
        <w:tabs>
          <w:tab w:val="num" w:pos="360"/>
        </w:tabs>
      </w:pPr>
      <w:rPr>
        <w:rFonts w:hint="default" w:ascii="Symbol" w:hAnsi="Symbol" w:eastAsia="Symbol"/>
        <w:b w:val="off"/>
        <w:i w:val="off"/>
        <w:strike w:val="off"/>
        <w:color w:val="auto"/>
        <w:position w:val="0"/>
        <w:sz w:val="20"/>
        <w:u w:val="none"/>
        <w:shd w:val="clear" w:fill="auto"/>
      </w:rPr>
    </w:lvl>
  </w:abstractNum>
  <w:abstractNum w:abstractNumId="1">
    <w:multiLevelType w:val="singleLevel"/>
    <w:lvl w:ilvl="0">
      <w:start w:val="1"/>
      <w:numFmt w:val="bullet"/>
      <w:suff w:val="space"/>
      <w:lvlText w:val=""/>
      <w:pPr>
        <w:ind w:left="360" w:hanging="360"/>
      </w:pPr>
      <w:rPr>
        <w:rFonts w:hint="default" w:ascii="Symbol" w:hAnsi="Symbol" w:eastAsia="Symbol"/>
        <w:b w:val="off"/>
        <w:i w:val="off"/>
        <w:strike w:val="off"/>
        <w:color w:val="auto"/>
        <w:position w:val="0"/>
        <w:sz w:val="24"/>
        <w:u w:val="none"/>
        <w:shd w:val="clear" w:fill="auto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w="http://schemas.openxmlformats.org/wordprocessingml/2006/main">
  <w:bordersDoNotSurroundHeader/>
  <w:bordersDoNotSurroundFooter/>
  <w:defaultTabStop w:val="1134"/>
</w:settings>
</file>

<file path=word/styles.xml><?xml version="1.0" encoding="utf-8"?>
<w:styles xmlns:w="http://schemas.openxmlformats.org/wordprocessingml/2006/main">
  <w:docDefaults>
    <w:rPrDefault>
      <w:rPr>
        <w:rFonts w:ascii="Arial"/>
        <w:sz w:val="24"/>
      </w:rPr>
    </w:rPrDefault>
  </w:docDefaults>
  <w:latentStyles/>
  <w:style w:type="paragraph" w:styleId="[Normal]" w:default="1">
    <w:name w:val="[Normal]"/>
    <w:next w:val="[Normal]"/>
    <w:qFormat/>
    <w:pPr>
      <w:tabs>
        <w:tab w:val="left" w:pos="1134"/>
        <w:tab w:val="left" w:pos="2268"/>
        <w:tab w:val="left" w:pos="3402"/>
        <w:tab w:val="left" w:pos="4536"/>
        <w:tab w:val="left" w:pos="5670"/>
        <w:tab w:val="left" w:pos="6804"/>
        <w:tab w:val="left" w:pos="7938"/>
        <w:tab w:val="left" w:pos="9072"/>
        <w:tab w:val="left" w:pos="10206"/>
        <w:tab w:val="left" w:pos="11340"/>
        <w:tab w:val="left" w:pos="12474"/>
        <w:tab w:val="left" w:pos="13608"/>
        <w:tab w:val="left" w:pos="14742"/>
        <w:tab w:val="left" w:pos="15876"/>
      </w:tabs>
      <w:spacing w:before="0" w:after="0" w:line="240" w:lineRule="auto"/>
      <w:ind w:left="0" w:right="0" w:firstLine="0"/>
      <w:jc w:val="left"/>
    </w:pPr>
    <w:rPr>
      <w:rFonts w:ascii="Arial" w:hAnsi="Arial" w:eastAsia="Arial"/>
      <w:b w:val="off"/>
      <w:i w:val="off"/>
      <w:strike w:val="off"/>
      <w:color w:val="auto"/>
      <w:sz w:val="24"/>
      <w:shd w:val="clear" w:fill="auto"/>
    </w:rPr>
  </w:style>
  <w:style w:type="paragraph" w:styleId="Normal">
    <w:name w:val="Normal"/>
    <w:next w:val="Normal"/>
    <w:qFormat/>
    <w:pPr>
      <w:spacing w:before="0" w:after="0" w:line="240" w:lineRule="auto"/>
      <w:ind w:left="0" w:right="0" w:firstLine="0"/>
      <w:jc w:val="left"/>
    </w:pPr>
    <w:rPr>
      <w:rFonts w:ascii="Arial" w:hAnsi="Arial" w:eastAsia="Arial"/>
      <w:b w:val="off"/>
      <w:i w:val="off"/>
      <w:strike w:val="off"/>
      <w:color w:val="auto"/>
      <w:sz w:val="20"/>
      <w:shd w:val="clear" w:fill="auto"/>
    </w:rPr>
  </w:style>
  <w:style w:type="paragraph" w:styleId="Titre arial 14 pts gras">
    <w:name w:val="Titre arial 14 pts gras"/>
    <w:basedOn w:val="Normal"/>
    <w:next w:val="Titre arial 14 pts gras"/>
    <w:qFormat/>
    <w:pPr/>
    <w:rPr>
      <w:b w:val="on"/>
      <w:sz w:val="28"/>
    </w:rPr>
  </w:style>
  <w:style w:type="paragraph" w:styleId="Détail">
    <w:name w:val="Détail"/>
    <w:basedOn w:val="Normal"/>
    <w:next w:val="Détail"/>
    <w:qFormat/>
    <w:pPr/>
    <w:rPr/>
  </w:style>
  <w:style w:type="paragraph" w:styleId="Type de détail">
    <w:name w:val="Type de détail"/>
    <w:basedOn w:val="Normal"/>
    <w:next w:val="Détail"/>
    <w:qFormat/>
    <w:pPr/>
    <w:rPr>
      <w:b w:val="on"/>
      <w:u w:val="single"/>
    </w:rPr>
  </w:style>
  <w:style w:type="paragraph" w:styleId="Enumeration arial 10 pts">
    <w:name w:val="Enumeration arial 10 pts"/>
    <w:basedOn w:val="Normal"/>
    <w:next w:val="Enumeration arial 10 pts"/>
    <w:qFormat/>
    <w:pPr>
      <w:numPr>
        <w:ilvl w:val="0"/>
        <w:numId w:val="1"/>
      </w:numPr>
      <w:ind w:left="360" w:hanging="360"/>
    </w:pPr>
    <w:rPr/>
  </w:style>
  <w:style w:type="paragraph" w:styleId="align droite 2cm">
    <w:name w:val="align droite 2cm"/>
    <w:basedOn w:val="Normal"/>
    <w:next w:val="align droite 2cm"/>
    <w:qFormat/>
    <w:pPr/>
    <w:rPr/>
  </w:style>
  <w:style w:type="paragraph" w:styleId="Adresse">
    <w:name w:val="Adresse"/>
    <w:basedOn w:val="Normal"/>
    <w:next w:val="Adresse"/>
    <w:qFormat/>
    <w:pPr>
      <w:ind w:left="5103"/>
    </w:pPr>
    <w:rPr/>
  </w:style>
  <w:style w:type="paragraph" w:styleId="BODY">
    <w:name w:val="BODY"/>
    <w:basedOn w:val="[Normal]"/>
    <w:next w:val="BODY"/>
    <w:qFormat/>
    <w:pPr>
      <w:tabs>
        <w:tab w:val="clear" w:pos="1134"/>
        <w:tab w:val="clear" w:pos="2268"/>
        <w:tab w:val="clear" w:pos="3402"/>
        <w:tab w:val="clear" w:pos="4536"/>
        <w:tab w:val="clear" w:pos="5670"/>
        <w:tab w:val="clear" w:pos="6804"/>
        <w:tab w:val="clear" w:pos="7938"/>
        <w:tab w:val="clear" w:pos="9072"/>
        <w:tab w:val="clear" w:pos="10206"/>
        <w:tab w:val="clear" w:pos="11340"/>
        <w:tab w:val="clear" w:pos="12474"/>
        <w:tab w:val="clear" w:pos="13608"/>
        <w:tab w:val="clear" w:pos="14742"/>
        <w:tab w:val="clear" w:pos="15876"/>
      </w:tabs>
      <w:spacing w:line="0" w:lineRule="auto"/>
    </w:pPr>
    <w:rPr/>
  </w:style>
</w:styles>
</file>

<file path=word/_rels/document.xml.rels><?xml version="1.0" encoding="UTF-8" standalone="yes"?>
<Relationships xmlns="http://schemas.openxmlformats.org/package/2006/relationships">
	<Relationship Id="rId00004" Type="http://schemas.openxmlformats.org/officeDocument/2006/relationships/styles" Target="styles.xml"/>
	<Relationship Id="rId00042" Type="http://schemas.openxmlformats.org/officeDocument/2006/relationships/header" Target="header0001.xml"/>
	<Relationship Id="rId00043" Type="http://schemas.openxmlformats.org/officeDocument/2006/relationships/footer" Target="footer0001.xml"/>
	<Relationship Id="rId00005" Type="http://schemas.openxmlformats.org/officeDocument/2006/relationships/image" Target="media/image0001.jpg"/>
	<Relationship Id="rId00006" Type="http://schemas.openxmlformats.org/officeDocument/2006/relationships/image" Target="media/image0002.jpg"/>
	<Relationship Id="rId00007" Type="http://schemas.openxmlformats.org/officeDocument/2006/relationships/image" Target="media/image0003.jpg"/>
	<Relationship Id="rId00008" Type="http://schemas.openxmlformats.org/officeDocument/2006/relationships/image" Target="media/image0004.jpg"/>
	<Relationship Id="rId00009" Type="http://schemas.openxmlformats.org/officeDocument/2006/relationships/image" Target="media/image0005.jpg"/>
	<Relationship Id="rId00010" Type="http://schemas.openxmlformats.org/officeDocument/2006/relationships/image" Target="media/image0006.jpg"/>
	<Relationship Id="rId00011" Type="http://schemas.openxmlformats.org/officeDocument/2006/relationships/image" Target="media/image0007.jpg"/>
	<Relationship Id="rId00012" Type="http://schemas.openxmlformats.org/officeDocument/2006/relationships/image" Target="media/image0008.jpg"/>
	<Relationship Id="rId00013" Type="http://schemas.openxmlformats.org/officeDocument/2006/relationships/image" Target="media/image0009.jpg"/>
	<Relationship Id="rId00014" Type="http://schemas.openxmlformats.org/officeDocument/2006/relationships/image" Target="media/image0010.jpg"/>
	<Relationship Id="rId00015" Type="http://schemas.openxmlformats.org/officeDocument/2006/relationships/image" Target="media/image0011.jpg"/>
	<Relationship Id="rId00016" Type="http://schemas.openxmlformats.org/officeDocument/2006/relationships/image" Target="media/image0012.jpg"/>
	<Relationship Id="rId00017" Type="http://schemas.openxmlformats.org/officeDocument/2006/relationships/image" Target="media/image0013.jpg"/>
	<Relationship Id="rId00018" Type="http://schemas.openxmlformats.org/officeDocument/2006/relationships/image" Target="media/image0014.jpg"/>
	<Relationship Id="rId00019" Type="http://schemas.openxmlformats.org/officeDocument/2006/relationships/image" Target="media/image0015.jpg"/>
	<Relationship Id="rId00020" Type="http://schemas.openxmlformats.org/officeDocument/2006/relationships/image" Target="media/image0016.jpg"/>
	<Relationship Id="rId00021" Type="http://schemas.openxmlformats.org/officeDocument/2006/relationships/image" Target="media/image0017.jpg"/>
	<Relationship Id="rId00022" Type="http://schemas.openxmlformats.org/officeDocument/2006/relationships/image" Target="media/image0018.jpg"/>
	<Relationship Id="rId00023" Type="http://schemas.openxmlformats.org/officeDocument/2006/relationships/image" Target="media/image0019.jpg"/>
	<Relationship Id="rId00024" Type="http://schemas.openxmlformats.org/officeDocument/2006/relationships/image" Target="media/image0020.jpg"/>
	<Relationship Id="rId00025" Type="http://schemas.openxmlformats.org/officeDocument/2006/relationships/image" Target="media/image0021.jpg"/>
	<Relationship Id="rId00026" Type="http://schemas.openxmlformats.org/officeDocument/2006/relationships/image" Target="media/image0022.jpg"/>
	<Relationship Id="rId00027" Type="http://schemas.openxmlformats.org/officeDocument/2006/relationships/image" Target="media/image0023.jpg"/>
	<Relationship Id="rId00028" Type="http://schemas.openxmlformats.org/officeDocument/2006/relationships/image" Target="media/image0024.jpg"/>
	<Relationship Id="rId00029" Type="http://schemas.openxmlformats.org/officeDocument/2006/relationships/image" Target="media/image0025.jpg"/>
	<Relationship Id="rId00030" Type="http://schemas.openxmlformats.org/officeDocument/2006/relationships/image" Target="media/image0026.jpg"/>
	<Relationship Id="rId00031" Type="http://schemas.openxmlformats.org/officeDocument/2006/relationships/image" Target="media/image0027.jpg"/>
	<Relationship Id="rId00032" Type="http://schemas.openxmlformats.org/officeDocument/2006/relationships/image" Target="media/image0028.jpg"/>
	<Relationship Id="rId00033" Type="http://schemas.openxmlformats.org/officeDocument/2006/relationships/image" Target="media/image0029.jpg"/>
	<Relationship Id="rId00034" Type="http://schemas.openxmlformats.org/officeDocument/2006/relationships/image" Target="media/image0030.jpg"/>
	<Relationship Id="rId00035" Type="http://schemas.openxmlformats.org/officeDocument/2006/relationships/image" Target="media/image0031.jpg"/>
	<Relationship Id="rId00036" Type="http://schemas.openxmlformats.org/officeDocument/2006/relationships/image" Target="media/image0032.jpg"/>
	<Relationship Id="rId00037" Type="http://schemas.openxmlformats.org/officeDocument/2006/relationships/image" Target="media/image0033.jpg"/>
	<Relationship Id="rId00038" Type="http://schemas.openxmlformats.org/officeDocument/2006/relationships/image" Target="media/image0034.jpg"/>
	<Relationship Id="rId00039" Type="http://schemas.openxmlformats.org/officeDocument/2006/relationships/image" Target="media/image0035.jpg"/>
	<Relationship Id="rId00040" Type="http://schemas.openxmlformats.org/officeDocument/2006/relationships/image" Target="media/image0036.jpg"/>
	<Relationship Id="rId00041" Type="http://schemas.openxmlformats.org/officeDocument/2006/relationships/image" Target="media/image0037.jpg"/>
	<Relationship Id="rId00044" Type="http://schemas.openxmlformats.org/officeDocument/2006/relationships/numbering" Target="numbering.xml"/>
	<Relationship Id="rId00045" Type="http://schemas.openxmlformats.org/officeDocument/2006/relationships/fontTable" Target="fontTable.xml"/>
	<Relationship Id="rId00046" Type="http://schemas.openxmlformats.org/officeDocument/2006/relationships/settings" Target="settings.xml"/>
</Relationships>

</file>

<file path=docProps/app.xml><?xml version="1.0" encoding="utf-8"?>
<Properties xmlns="http://schemas.openxmlformats.org/officeDocument/2006/extended-properties" xmlns:vt="http://schemas.openxmlformats.org/officeDocument/2006/docPropsVTypes">
  <Application>TX_DOX 17.0.140.502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</cp:coreProperties>
</file>