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LE LABOURIER / Masselin               </w:t>
            </w:r>
            <w:r>
              <w:rPr>
                <w:b w:val="on"/>
                <w:color w:val="000000"/>
                <w:sz w:val="22"/>
              </w:rPr>
              <w:t xml:space="preserve">Origine Acquéreur : Green Acres                    GD2010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Mme Masselin Irene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13/01/2024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+33678888026 biscuiteriegersoise32@gmail.com;croc-et-miam@live.fr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2 058   type  : Non-exclusif    du  :  09/12/2023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  <w:r>
              <w:rPr>
                <w:b w:val="on"/>
                <w:color w:val="000000"/>
                <w:sz w:val="22"/>
              </w:rPr>
              <w:t xml:space="preserve"> (réf. GD2010) 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Pouzalgues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46300 GINOUILLAC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336 000 €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320 000 €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16 000 €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8858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Mr</w:t>
            </w:r>
            <w:r>
              <w:rPr>
                <w:b w:val="on"/>
                <w:color w:val="000000"/>
                <w:sz w:val="24"/>
              </w:rPr>
              <w:t xml:space="preserve"> LE LABOURIER Bernard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16, route de Sainte Anne Kerhero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56500 MOUSTOIR-AC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 0603129225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lelabourier-b@orange.fr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