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 / DUHAMEL </w:t>
            </w:r>
            <w:r>
              <w:rPr>
                <w:b w:val="on"/>
                <w:color w:val="000000"/>
                <w:sz w:val="22"/>
              </w:rPr>
              <w:t xml:space="preserve">Origine Acquéreur : Bienici GD1986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Mr&amp; Mme DUHAMEL AGNES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03/08/2023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0650711740 /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0682394321 pclaus2@free.fr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2 035   type  : Non-exclusif    du  :  12/07/2023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  <w:r>
              <w:rPr>
                <w:b w:val="on"/>
                <w:color w:val="000000"/>
                <w:sz w:val="22"/>
              </w:rPr>
              <w:t xml:space="preserve"> (réf. GD1986) </w:t>
            </w: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BOUSSAC Clarisse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492 route de Payrac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46350 NADAILLAC-DE-ROUGE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420 000 €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400 000 €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20 000 €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88265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  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 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 /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08/08/2023</w:t>
            </w: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411000  393000+18000           50/50</w:t>
            </w: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