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7"/>
        <w:gridCol w:w="6585"/>
      </w:tblGrid>
      <w:tr>
        <w:tc>
          <w:tcPr>
            <w:tcW w:w="25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1504950" cy="12096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1 534  du 03/02/2023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bourg de Cressensac 46600 CRESSENSAC-SARRAZAC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MAURY JOEL ROUMIEUX MONIQUE</w:t>
            </w:r>
          </w:p>
          <w:p>
            <w:pPr>
              <w:pStyle w:val="[Normal]"/>
              <w:jc w:val="center"/>
            </w:pPr>
            <w:r>
              <w:t xml:space="preserve">le bourg - Cressensac 46600 CRESSENSAC-SARRAZAC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230 000 €  Net vendeur.</w:t>
      </w:r>
    </w:p>
    <w:p>
      <w:pPr>
        <w:pStyle w:val="[Normal]"/>
      </w:pPr>
      <w:r>
        <w:rPr>
          <w:color w:val="0000FF"/>
        </w:rPr>
        <w:t xml:space="preserve">241 500 € Frais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réalisation, la rémunération du mandataire sera de </w:t>
      </w:r>
      <w:r>
        <w:rPr>
          <w:color w:val="0000FF"/>
        </w:rPr>
        <w:t xml:space="preserve">11 500 €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2020 000 044 393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