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499235"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99235" cy="1209675"/>
                          </a:xfrm>
                          <a:prstGeom prst="rect">
                            <a:avLst/>
                          </a:prstGeom>
                        </pic:spPr>
                      </pic:pic>
                    </a:graphicData>
                  </a:graphic>
                </wp:inline>
              </w:drawing>
            </w:r>
          </w:p>
        </w:tc>
        <w:tc>
          <w:tcPr>
            <w:tcW w:w="6302"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 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4111"/>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4111"/>
        <w:jc w:val="center"/>
        <w:rPr>
          <w:rFonts w:ascii="Times New Roman" w:hAnsi="Times New Roman" w:eastAsia="Times New Roman"/>
          <w:b w:val="on"/>
        </w:rPr>
      </w:pPr>
    </w:p>
    <w:p>
      <w:pPr>
        <w:pStyle w:val="Normal"/>
        <w:tabs>
          <w:tab w:val="left" w:pos="28"/>
          <w:tab w:val="left" w:pos="3685"/>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r>
        <w:rPr>
          <w:sz w:val="22"/>
        </w:rPr>
        <w:t xml:space="preserve">    </w:t>
      </w:r>
    </w:p>
    <w:p>
      <w:pPr>
        <w:pStyle w:val="Normal"/>
        <w:tabs>
          <w:tab w:val="left" w:pos="28"/>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p>
    <w:p>
      <w:pPr>
        <w:pStyle w:val="Normal"/>
        <w:tabs>
          <w:tab w:val="left" w:pos="28"/>
          <w:tab w:val="left" w:pos="6372"/>
          <w:tab w:val="left" w:pos="7080"/>
          <w:tab w:val="left" w:pos="7788"/>
          <w:tab w:val="left" w:pos="9204"/>
          <w:tab w:val="left" w:pos="9912"/>
          <w:tab w:val="left" w:pos="10620"/>
          <w:tab w:val="left" w:pos="11328"/>
          <w:tab w:val="left" w:pos="12036"/>
          <w:tab w:val="left" w:pos="12744"/>
          <w:tab w:val="left" w:pos="13608"/>
          <w:tab w:val="left" w:pos="14742"/>
          <w:tab w:val="left" w:pos="15876"/>
          <w:tab w:val="left" w:pos="17010"/>
        </w:tabs>
        <w:ind w:left="28"/>
        <w:jc w:val="center"/>
        <w:rPr>
          <w:sz w:val="28"/>
        </w:rPr>
      </w:pP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jc w:val="center"/>
        <w:rPr>
          <w:b w:val="on"/>
          <w:sz w:val="36"/>
        </w:rPr>
      </w:pPr>
      <w:r>
        <w:rPr>
          <w:b w:val="on"/>
          <w:sz w:val="36"/>
        </w:rPr>
        <w:t xml:space="preserve">AVIS DE VALEUR VENALE</w:t>
      </w: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jc w:val="center"/>
        <w:rPr>
          <w:b w:val="on"/>
          <w:sz w:val="36"/>
        </w:rPr>
      </w:pP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r>
        <w:t xml:space="preserve">Le présent Avis de Valeur Vénale n'est pas une expertise. sa durée de validité est de 6 mois.</w:t>
      </w:r>
    </w:p>
    <w:p>
      <w:pPr>
        <w:pStyle w:val="Standard"/>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A  la demande de Mme AUMAITRE Marie Claude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5 mai 2023  et procédé à l’estimation du bien sis: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Rue des Pargueminiers 46300 GOURDON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Cadastre :AD4, AD5, AD6   pour une contenance cadastrale de 1194m²</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Situation et description : </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Maison d'habitation de construction traditionnelle des années 60, élevée sur 2 niveaux avec soubassements en pierre du pays.</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 rez de jardin distribue sur environ 86 m² : Garage, cuisine, 2 chambres,  salle d'eau, chaufferie (chauffage central fuel), dégagement.</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 1er étage (Rez de chaussée côté rue, 1er étage coté jardin)  distribue sur environ 88 m² : Entrée, couloir, cuisine, séjour avec cheminée (insert), 2 chambres, salle d'eau, wc.</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L'ensemble offre une surface habitable d'environ 140 m² , pour une surface totale de 174m².</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Un Balcon / terrasse avec vue sur le jardin est accessible depuis la cuisine du 1er étage</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Terrain clos, en longueur avec petit abri de jardin.</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La maison est reliée au tout à l'égout, chauffage central Fuel (chaudière récente),+ Insert bois dans la cheminée du séjour.</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La maison est située dans une rue très passante et très bruyante de Gourdon. Elle présente quelques fissures extérieures.</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 rez de jardin, de par la configuration naturelle en pente du terrain, est 'contre terrier' sur sa partie Sud, situation occasionnant une humidité sévère des murs  et le très mauvais état constaté du second oeuvre de ce niveau.</w:t>
      </w:r>
    </w:p>
    <w:p>
      <w:pPr>
        <w:pStyle w:val="Corps de texte"/>
        <w:tabs>
          <w:tab w:val="left" w:pos="2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et audit énergétique), l'évaluation qui va suivre repose sur l'hypothèse que les bâtiments concernés n'appellent aucun travaux dont la nécessité serait révélée par les documents précités.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b w:val="on"/>
          <w:sz w:val="22"/>
        </w:rPr>
      </w:pPr>
      <w:r>
        <w:rPr>
          <w:rFonts w:ascii="Arial" w:hAnsi="Arial" w:eastAsia="Arial"/>
          <w:b w:val="on"/>
          <w:sz w:val="22"/>
        </w:rPr>
        <w:t xml:space="preserve">Avis de valeur vénale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Compte tenu de notre expérience du marché local actuel, il nous a semblé préférable et plus avantageux de baser le présent avis sur la valeur de marché globale obtenue par comparaison des ventes récentes de biens similaires réalisées sur des secteurs comparables plutot que sur la valeur technique brute.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L'incidence de la valeur du support foncier est intégrée dans la valeur de marché globale ici exprimée.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A  la date du 19 juin 2023</w:t>
      </w:r>
      <w:r>
        <w:rPr>
          <w:rFonts w:ascii="Arial" w:hAnsi="Arial" w:eastAsia="Arial"/>
          <w:b w:val="on"/>
          <w:i w:val="on"/>
          <w:sz w:val="22"/>
        </w:rPr>
        <w:t xml:space="preserve">  </w:t>
      </w:r>
      <w:r>
        <w:rPr>
          <w:rFonts w:ascii="Arial" w:hAnsi="Arial" w:eastAsia="Arial"/>
          <w:sz w:val="22"/>
        </w:rPr>
        <w:t xml:space="preserve">l'ensemble du bien pourrait être estimé </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entre </w:t>
      </w:r>
      <w:r>
        <w:rPr>
          <w:rFonts w:ascii="Arial" w:hAnsi="Arial" w:eastAsia="Arial"/>
          <w:b w:val="on"/>
          <w:sz w:val="22"/>
        </w:rPr>
        <w:t xml:space="preserve">70 000 € et 80 000 €  net vendeur.</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b w:val="on"/>
          <w:sz w:val="22"/>
        </w:rPr>
        <w:t xml:space="preserve">Fait à SOUILLAC,  19 juin 2023.</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18"/>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Pour l'Agence</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r>
        <w:rPr>
          <w:rFonts w:ascii="Arial" w:hAnsi="Arial" w:eastAsia="Arial"/>
          <w:sz w:val="22"/>
        </w:rPr>
        <w:t xml:space="preserve">Thierry Deviers</w:t>
      </w:r>
    </w:p>
    <w:p>
      <w:pPr>
        <w:pStyle w:val="Corps de texte"/>
        <w:tabs>
          <w:tab w:val="left" w:pos="28"/>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
        <w:rPr>
          <w:rFonts w:ascii="Arial" w:hAnsi="Arial" w:eastAsia="Arial"/>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9637"/>
              <w:tab w:val="left" w:pos="9637"/>
              <w:tab w:val="left" w:pos="13608"/>
              <w:tab w:val="left" w:pos="14742"/>
              <w:tab w:val="left" w:pos="15876"/>
              <w:tab w:val="left" w:pos="17010"/>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widowControl w:val="on"/>
      <w:tabs>
        <w:tab w:val="left" w:pos="9637"/>
        <w:tab w:val="left" w:pos="9637"/>
        <w:tab w:val="left" w:pos="17010"/>
        <w:tab w:val="clear" w:pos="10206"/>
        <w:tab w:val="clear" w:pos="11340"/>
        <w:tab w:val="clear" w:pos="12474"/>
      </w:tabs>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637"/>
        <w:tab w:val="left" w:pos="9637"/>
        <w:tab w:val="left" w:pos="17010"/>
        <w:tab w:val="clear" w:pos="10206"/>
        <w:tab w:val="clear" w:pos="11340"/>
        <w:tab w:val="clear" w:pos="12474"/>
      </w:tabs>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