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rPr>
          <w:sz w:val="22"/>
        </w:rPr>
        <w:t xml:space="preserve">    </w:t>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w:t>
      </w:r>
      <w:r>
        <w:rPr>
          <w:rFonts w:ascii="Arial" w:hAnsi="Arial" w:eastAsia="Arial"/>
          <w:b w:val="on"/>
          <w:sz w:val="22"/>
        </w:rPr>
        <w:t xml:space="preserve">  la demande de Madame Sylvie CONSTANT demeurant : </w:t>
      </w:r>
      <w:r>
        <w:rPr>
          <w:rFonts w:ascii="Arial" w:hAnsi="Arial" w:eastAsia="Arial"/>
          <w:b w:val="on"/>
          <w:sz w:val="22"/>
        </w:rPr>
        <w:t xml:space="preserve">3 Rue du Pigeonnier 46300 SAINT-PROJET.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11 Avril 2023  et procédé à l’estimation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3 Rue du Pigeonnier 46300 SAINT-PROJET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Cadastre : C656  C658</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Situation et description :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Maison d'habitation et grange sur terrain de 4285m².</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Depuis le jardin, un escalier extérieur conduit au 1er étage à une terrasse couverte (19.65m²), la maison distribue sur ce niveau : Entrée avec cage d'escalier (7.84m²), couloir (8.90m²), cuisine (10.33m²), salon (19m²), salle à manger (13.15m²), chambre (13.22m²), salle d'eau (3.14m²), wc (1.76m²).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Au deuxième étage : Palier (8.14m²), couloir (7.53m²), 4 chambres (18.60m², 13.34m², 13.06m², 7.50m²),salle de bain et wc (4.71m²) .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Au 3eme étage : grenier.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En rez-de-jardin : Chaufferie, garage, atelier.</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Une grange de 100m² en bon état de gros-œuvre.</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Beau jardin clos avec verger. Village sans commerce.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sz w:val="22"/>
        </w:rPr>
      </w:pPr>
      <w:r>
        <w:rPr>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énergétique), l'évaluation qui va suivre repose sur l'hypothèse que les bâtiments concernés n'appellent aucun travaux dont la nécessité serait révélée par les documents précités.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10 mai 2023</w:t>
      </w:r>
      <w:r>
        <w:rPr>
          <w:rFonts w:ascii="Arial" w:hAnsi="Arial" w:eastAsia="Arial"/>
          <w:b w:val="on"/>
          <w:i w:val="on"/>
          <w:sz w:val="22"/>
        </w:rPr>
        <w:t xml:space="preserve">  </w:t>
      </w:r>
      <w:r>
        <w:rPr>
          <w:rFonts w:ascii="Arial" w:hAnsi="Arial" w:eastAsia="Arial"/>
          <w:sz w:val="22"/>
        </w:rPr>
        <w:t xml:space="preserve">l'ensemble du bien pourrait être estimé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entre</w:t>
      </w:r>
      <w:r>
        <w:rPr>
          <w:rFonts w:ascii="Arial" w:hAnsi="Arial" w:eastAsia="Arial"/>
          <w:b w:val="on"/>
          <w:sz w:val="22"/>
        </w:rPr>
        <w:t xml:space="preserve"> 250000€ et  275000€  net vendeur.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10 mai 2023.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