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LESPINASSE / HARVEY </w:t>
            </w:r>
            <w:r>
              <w:rPr>
                <w:b w:val="on"/>
                <w:color w:val="000000"/>
                <w:sz w:val="22"/>
              </w:rPr>
              <w:t xml:space="preserve">Origine Acquéreur : Montignac SUD1469-1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66"/>
        <w:gridCol w:w="5040"/>
      </w:tblGrid>
      <w:tr>
        <w:tc>
          <w:tcPr>
            <w:tcW w:w="486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Mme HARVEY SARAH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01/04/2023</w:t>
            </w:r>
          </w:p>
        </w:tc>
      </w:tr>
      <w:tr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00447956629794 sarahhvy@live.co.uk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1 469   type  : Non-exclusif    du  :  16/08/2022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  <w:r>
              <w:rPr>
                <w:b w:val="on"/>
                <w:color w:val="000000"/>
                <w:sz w:val="22"/>
              </w:rPr>
              <w:t xml:space="preserve"> (réf. SUD1469-1)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DEVIERS Thierry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 / 0624222621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Fontvieille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46350 MASCLAT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95 400 €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90 000 €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5 400 €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74549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Mme</w:t>
            </w:r>
            <w:r>
              <w:rPr>
                <w:b w:val="on"/>
                <w:color w:val="000000"/>
                <w:sz w:val="24"/>
              </w:rPr>
              <w:t xml:space="preserve"> LESPINASSE ANNE-FRANCE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601 Chemin du moulin de Cère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46130 BRETENOUX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4"/>
              </w:rPr>
              <w:t xml:space="preserve">0633176720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annfr@hotmail.fr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25/04/2023</w:t>
            </w:r>
          </w:p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84500 hai  80000 net  + 4500</w:t>
            </w: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