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A vendre Rocamadour, maison T4 pierre entièrement restaurée, terrain 2 513 m² bordé par ruisseau.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ROCAMADOUR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296 800 €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GRA1746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3129p13674755c68a7c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3129p13674755c68a7c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40067489e0994c8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381467489e0994c9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218167489e0994ca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78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423267489e0994ca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2,513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A vendre à Rocamadour, à l'éc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art de l'agitation de la cité, maison d’habitation ancienne (XVIIIème) en pierre entièrement restaurée en 2015/2016 (tous travaux sous garantie décennale) de type 4, érigée sur caves. Garage attenant. En RDJ : caves et garage ; En Rez-de-chaussée : pièce à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vivre avec cheminée / cuisinière à bois, cuisine ouverte aménagée et équipée (plaque vitrocéramique, lave-vaisselle, four, frigo), chambre 1, salle d’eau / WC + buanderie. Terrasse; au-dessus, mansardés : palier, deux chambres (possibilité d’une 2nde sall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 d’eau). L’ensemble est implanté sur un terrain de</w:t>
                    <w:br/>
                    <w:t xml:space="preserve">2 513 m² bordé par un cours d’eau. Charme et authenticité au rendez-vous !   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Année rénovation:  2016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Très bon</w:t>
                    <w:br/>
                    <w:t xml:space="preserve">Surf. habitable:  78 m²</w:t>
                    <w:br/>
                    <w:t xml:space="preserve">Terrain:  2,513 m²</w:t>
                    <w:br/>
                    <w:t xml:space="preserve">Séjour:  40 m²</w:t>
                    <w:br/>
                    <w:t xml:space="preserve">Hameau / Village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3 Chambres</w:t>
                    <w:br/>
                    <w:t xml:space="preserve">1 Salle d'eau</w:t>
                    <w:br/>
                    <w:t xml:space="preserve">4 Pièces</w:t>
                    <w:br/>
                    <w:t xml:space="preserve">1 Garage</w:t>
                    <w:br/>
                    <w:t xml:space="preserve">Chauffage:  Électricité et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Hameau </w:t>
                    <w:br/>
                    <w:br/>
                    <w:t xml:space="preserve">REZ DE JARDIN:</w:t>
                    <w:br/>
                    <w:t xml:space="preserve"> - 2 Caves 23,1 et 23,6 m²</w:t>
                    <w:br/>
                    <w:t xml:space="preserve"> - Garage 20 m²</w:t>
                    <w:br/>
                    <w:br/>
                    <w:t xml:space="preserve">REZ DE CHAUSSÉE:</w:t>
                    <w:br/>
                    <w:t xml:space="preserve"> - Chambre 12,7 m²</w:t>
                    <w:br/>
                    <w:t xml:space="preserve"> - Cuisine ouverte aménagée et équipé</w:t>
                  </w:r>
                  <w:r>
                    <w:rPr>
                      <w:rFonts w:cs="Arial"/>
                    </w:rPr>
                    <w:t xml:space="preserve">e </w:t>
                    <w:br/>
                    <w:t xml:space="preserve"> - Pièce à vivre 39,5 m² avec cheminée et cuisinière à bois</w:t>
                    <w:br/>
                    <w:t xml:space="preserve"> - Salle d'eau / WC 5, 6 m²</w:t>
                    <w:br/>
                    <w:t xml:space="preserve"> - Terrasse 19,7 m²</w:t>
                    <w:br/>
                    <w:br/>
                    <w:t xml:space="preserve">1ER ÉTAGE:</w:t>
                    <w:br/>
                    <w:t xml:space="preserve"> - 2 Chambres mansardées 8,2 et 11,1 m²</w:t>
                    <w:br/>
                    <w:t xml:space="preserve"> - Palier 0,8 m²</w:t>
                    <w:br/>
                    <w:br/>
                    <w:t xml:space="preserve">DPE:</w:t>
                    <w:br/>
                    <w:t xml:space="preserve"> - DPE en cours 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Electrique + bois Rad</w:t>
                  </w:r>
                  <w:r>
                    <w:rPr>
                      <w:rFonts w:cs="Arial"/>
                    </w:rPr>
                    <w:t xml:space="preserve">iateurs électriques + cuisinière à bois dans cantou</w:t>
                    <w:br/>
                    <w:br/>
                    <w:t xml:space="preserve">EQUIPEMENTS DE CUISINE:</w:t>
                    <w:br/>
                    <w:t xml:space="preserve"> - Cuisinière vitrocéramique </w:t>
                    <w:br/>
                    <w:t xml:space="preserve"> - Four </w:t>
                    <w:br/>
                    <w:t xml:space="preserve"> - Frigo </w:t>
                    <w:br/>
                    <w:t xml:space="preserve"> - Lave vaisselle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Cheminée 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SERVICES:</w:t>
                    <w:br/>
                    <w:t xml:space="preserve"> - Ville la plus proche :  Gramat 12 mn</w:t>
                    <w:br/>
                    <w:t xml:space="preserve"> - Aéroport Brive 45 mn, Toulouse 1H45</w:t>
                    <w:br/>
                    <w:t xml:space="preserve"> - Autoroute 15 mn</w:t>
                    <w:br/>
                    <w:t xml:space="preserve"> - Calme </w:t>
                    <w:br/>
                    <w:t xml:space="preserve"> </w:t>
                  </w:r>
                  <w:r>
                    <w:rPr>
                      <w:rFonts w:cs="Arial"/>
                    </w:rPr>
                    <w:t xml:space="preserve">- Commerces 12 mn</w:t>
                    <w:br/>
                    <w:t xml:space="preserve"> - Ecole sur place</w:t>
                    <w:br/>
                    <w:t xml:space="preserve"> - Gare 5 mn</w:t>
                    <w:br/>
                    <w:t xml:space="preserve"> - Gîtes possible</w:t>
                    <w:br/>
                    <w:t xml:space="preserve"> - Golf 25 mn</w:t>
                    <w:br/>
                    <w:t xml:space="preserve"> - Hôpital 45 mn</w:t>
                    <w:br/>
                    <w:t xml:space="preserve"> - Internet / ADSL </w:t>
                    <w:br/>
                    <w:t xml:space="preserve"> - Monument historique périmètre Monument Historique</w:t>
                    <w:br/>
                    <w:t xml:space="preserve"> - Ruisseau, Rivière ou Etang </w:t>
                    <w:br/>
                    <w:t xml:space="preserve"> - Plain-pied </w:t>
                    <w:br/>
                    <w:t xml:space="preserve"> - Internet fibre optique. </w:t>
                    <w:br/>
                    <w:br/>
                    <w:t xml:space="preserve">SOUS SOL:</w:t>
                  </w:r>
                  <w:r>
                    <w:rPr>
                      <w:rFonts w:cs="Arial"/>
                    </w:rPr>
                    <w:br/>
                    <w:t xml:space="preserve"> - 2 Caves 23,1 et 23,6 m²</w:t>
                    <w:br/>
                    <w:br/>
                    <w:t xml:space="preserve">TERRAIN:</w:t>
                    <w:br/>
                    <w:t xml:space="preserve"> - Bordé par cours d'eau 2 513 m² en zone "N" (naturelle non ouverte à la construction)</w:t>
                    <w:br/>
                    <w:br/>
                    <w:t xml:space="preserve">TOITURE:</w:t>
                    <w:br/>
                    <w:t xml:space="preserve"> - Tuiles plates très bon état</w:t>
                    <w:br/>
                    <w:br/>
                    <w:t xml:space="preserve">VUE:</w:t>
                    <w:br/>
                    <w:t xml:space="preserve"> - Dégagée sur la cité de Rocamadour</w:t>
                    <w:br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</w:rPr>
      </w:r>
      <w:r>
        <w:rPr>
          <w:rFonts w:cs="Arial"/>
          <w:color w:val="000000"/>
          <w:sz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</w:r>
    </w:p>
    <w:p>
      <w:pPr>
        <w:pStyle w:val="686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91829" cy="1460464"/>
                            <wp:effectExtent l="0" t="0" r="0" b="0"/>
                            <wp:docPr id="7" name="Picture 1" descr="https://files.activimmo.com/storage/etiquettes/photo/dpe/dpe-energie-encou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ncour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829" cy="1460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5.3pt;height:11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91829" cy="1460464"/>
                            <wp:effectExtent l="0" t="0" r="0" b="0"/>
                            <wp:docPr id="8" name="Picture 1" descr="https://files.activimmo.com/storage/etiquettes/photo/dpe/dpe-energie-encou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ncour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829" cy="1460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5.3pt;height:11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8gildc6503129p11674755c5413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11674755c5413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8gildc6503129p12674755c5e1c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12674755c5e1c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8gildc6503129p3674755c089da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3674755c089da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8gildc6503129p7674755c2da1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7674755c2da1f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8gildc6503129p5674755c1baf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5674755c1baf7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8gildc6503129p4674755c12a9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4674755c12a98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8gildc6503129p1674755bee1e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1674755bee1ee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08gildc6503129p2674755bfe9bc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2674755bfe9bc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08gildc6503129p6674755c2586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3129p6674755c2586f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18" name="Picture 1" descr="https://qrcode.kaywa.com/img.php?s=3&amp;d=http%3A%2F%2Fwww.chrisimmo.fr%2Findex.php%3Faction%3Ddetail%26nbien%3D650312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312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Chris'Immo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25 rue de la Balme -46500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GRAMAT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0565381137 - chrisimmo@orange.fr - www.chrisimmo.fr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17</cp:revision>
  <dcterms:created xsi:type="dcterms:W3CDTF">2024-01-11T11:56:00Z</dcterms:created>
  <dcterms:modified xsi:type="dcterms:W3CDTF">2024-11-28T16:45:49Z</dcterms:modified>
</cp:coreProperties>
</file>