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3 525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LEFEVRE Michel et Marie-France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39 bis rue de Montreuil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75011</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PARIS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plain-pied, Gramat centre, 6 chambres, 9 pieces, 1775m² terrain</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75 RUE PECH VALETTE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VINGT-CINQ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225 000 €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13 500 €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23/03/2024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Michel et Marie-France LEFEVRE  vous informe de mon intention de mettre fin au mandat N° : 3 525. J'ai bien noté que cette rétractation interviendra après un délai de 15 jours à compter de la réception du présent bordereau. </w:t>
      </w:r>
    </w:p>
    <w:p>
      <w:pPr>
        <w:pStyle w:val="[Normal]"/>
        <w:widowControl w:val="on"/>
        <w:jc w:val="both"/>
        <w:rPr>
          <w:sz w:val="18"/>
        </w:rPr>
      </w:pP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LEFEVRE Michel et Marie-France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39 bis rue de Montreuil</w:t>
      </w:r>
    </w:p>
    <w:p>
      <w:pPr>
        <w:pStyle w:val="[Normal]"/>
        <w:widowControl w:val="on"/>
        <w:rPr>
          <w:b w:val="on"/>
          <w:sz w:val="20"/>
        </w:rPr>
      </w:pPr>
      <w:r>
        <w:rPr>
          <w:rFonts w:ascii="Times New Roman" w:hAnsi="Times New Roman" w:eastAsia="Times New Roman"/>
          <w:b w:val="on"/>
          <w:color w:val="0000FF"/>
        </w:rPr>
        <w:t xml:space="preserve">75011</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PARIS</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13 500 €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23/03/2024</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