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Monsieur et Madame  BEZIAT René et Nadine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85 route de Fourques Haute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46320  BRENGUES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Ensemble quercynois, avec gite, 3 chambres , terrain 5000m², 85 route de la fourques haute   46320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BRENGUES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QUATRE CENTS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(400 000 €)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20 000 €    € TTC soit 4,76%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07/03/2024</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René et Nadine BEZIAT vous informe de mon intention de mettre fin au mandat N° : .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Monsieur et Madame René et Nadine BEZIAT</w:t>
      </w:r>
    </w:p>
    <w:p>
      <w:pPr>
        <w:pStyle w:val="[Normal]"/>
        <w:rPr>
          <w:b w:val="on"/>
          <w:sz w:val="20"/>
        </w:rPr>
      </w:pPr>
      <w:r>
        <w:rPr>
          <w:b w:val="on"/>
          <w:sz w:val="20"/>
        </w:rPr>
        <w:t xml:space="preserve">85 route de Fourques Haute</w:t>
      </w:r>
    </w:p>
    <w:p>
      <w:pPr>
        <w:pStyle w:val="[Normal]"/>
        <w:rPr>
          <w:b w:val="on"/>
          <w:sz w:val="20"/>
        </w:rPr>
      </w:pPr>
      <w:r>
        <w:rPr>
          <w:b w:val="on"/>
          <w:sz w:val="20"/>
        </w:rPr>
        <w:t xml:space="preserve">46320BRENGUES</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4,76% TTC soit 20 000 €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07/03/2024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