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3 561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et Madame  DESBOURDIEUX Gérard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Gruffiel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ISSENDOLUS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GRAMAT centre - immeuble avec commerce  rue de la balme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SOIXANTE-QUINZE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(75 000 €)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6 000 €    € TTC soit 7,41%</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24/11/2023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Gérard DESBOURDIEUX vous informe de mon intention de mettre fin au mandat N° : 3 561.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et Madame Gérard DESBOURDIEUX</w:t>
      </w:r>
    </w:p>
    <w:p>
      <w:pPr>
        <w:pStyle w:val="[Normal]"/>
        <w:rPr>
          <w:b w:val="on"/>
          <w:sz w:val="20"/>
        </w:rPr>
      </w:pPr>
      <w:r>
        <w:rPr>
          <w:b w:val="on"/>
          <w:sz w:val="20"/>
        </w:rPr>
        <w:t xml:space="preserve">Gruffiel</w:t>
      </w:r>
    </w:p>
    <w:p>
      <w:pPr>
        <w:pStyle w:val="[Normal]"/>
        <w:rPr>
          <w:b w:val="on"/>
          <w:sz w:val="20"/>
        </w:rPr>
      </w:pPr>
      <w:r>
        <w:rPr>
          <w:b w:val="on"/>
          <w:sz w:val="20"/>
        </w:rPr>
        <w:t xml:space="preserve">46500ISSENDOLUS</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7,41% TTC soit 6 000 €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24/11/2023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