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751"/>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2617p466859611101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617p466859611101e9.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2617p6050448fno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617p6050448fnomj.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2617p566859611f0c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617p566859611f0cac.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03/07/24, un(e) Appartement sis 114 rue Georges Clémenceau 46000 CAHORS appartenant à Mr MOUGIN Claude, Mme MOUGIN Anaïs et Mr MOUGIN Luc.</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12"/>
          <w:szCs w:val="10"/>
        </w:rPr>
      </w:pPr>
      <w:r>
        <w:rPr>
          <w:color w:val="000000"/>
          <w:sz w:val="12"/>
          <w:szCs w:val="10"/>
        </w:rPr>
      </w:r>
      <w:r>
        <w:rPr>
          <w:color w:val="000000"/>
          <w:sz w:val="12"/>
          <w:szCs w:val="10"/>
        </w:rP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0"/>
          <w:szCs w:val="6"/>
        </w:rPr>
      </w:pPr>
      <w:r>
        <w:rPr>
          <w:sz w:val="10"/>
          <w:szCs w:val="6"/>
        </w:rPr>
      </w:r>
      <w:r>
        <w:rPr>
          <w:sz w:val="10"/>
          <w:szCs w:val="6"/>
        </w:rPr>
      </w:r>
    </w:p>
    <w:p>
      <w:pPr>
        <w:ind w:left="0" w:right="0"/>
        <w:jc w:val="both"/>
        <w:spacing w:before="120" w:after="120" w:line="240" w:lineRule="auto"/>
        <w:widowControl/>
      </w:pPr>
      <w:r>
        <w:rPr>
          <w:color w:val="000000"/>
          <w:sz w:val="24"/>
          <w:szCs w:val="24"/>
        </w:rPr>
        <w:t xml:space="preserve">Cahors centre-ville: appartement d'environ 83m² au 2ème étage d’une petite copropriété idéalement située à proximité de tout services et tous commerces. Le bien dispose d'un séjour de 32 m², d'une cuisine spacieuse de 22 m², d'une chambre de </w:t>
      </w:r>
      <w:r>
        <w:rPr>
          <w:color w:val="000000"/>
          <w:sz w:val="24"/>
          <w:szCs w:val="24"/>
        </w:rPr>
        <w:t xml:space="preserve">12,3 m², d'une salle de bain de 6,4 m² et d'un couloir de 11.2 m². Le bien à besoin d'un rafraîchissement mais le cumulus est neuf ainsi que les radiateurs. Les informations sur les risques auquel ce bien est exposé sont disponibles sur le site Géorisques </w:t>
      </w:r>
      <w:hyperlink r:id="rId14" w:tooltip="file://///192.168.1.100/activimmo/" w:history="1">
        <w:r>
          <w:rPr>
            <w:rStyle w:val="752"/>
            <w:color w:val="0000ff"/>
            <w:sz w:val="24"/>
            <w:szCs w:val="24"/>
            <w:u w:val="single"/>
          </w:rPr>
          <w:t xml:space="preserve">www.georisques.gouv.fr</w:t>
        </w:r>
      </w:hyperlink>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habitable environ : 83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Lot n°11</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szCs w:val="10"/>
        </w:rPr>
      </w:pPr>
      <w:r>
        <w:rPr>
          <w:sz w:val="14"/>
          <w:szCs w:val="10"/>
        </w:rPr>
      </w:r>
      <w:r>
        <w:rPr>
          <w:sz w:val="14"/>
          <w:szCs w:val="10"/>
        </w:rP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Appartement</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b/>
          <w:bCs/>
          <w:sz w:val="22"/>
          <w:szCs w:val="18"/>
        </w:rPr>
        <w:t xml:space="preserve">SITUATION DU BIEN:</w:t>
      </w:r>
      <w:r>
        <w:rPr>
          <w:sz w:val="22"/>
          <w:szCs w:val="18"/>
        </w:rPr>
        <w:br/>
        <w:t xml:space="preserve"> - Centre-Ville </w:t>
      </w:r>
      <w:r>
        <w:rPr>
          <w:sz w:val="22"/>
          <w:szCs w:val="18"/>
        </w:rPr>
        <w:br/>
      </w:r>
      <w:r>
        <w:rPr>
          <w:b/>
          <w:bCs/>
          <w:sz w:val="22"/>
          <w:szCs w:val="18"/>
        </w:rPr>
        <w:t xml:space="preserve">2ÈME ÉTAGE:</w:t>
      </w:r>
      <w:r>
        <w:rPr>
          <w:sz w:val="22"/>
          <w:szCs w:val="18"/>
        </w:rPr>
        <w:br/>
        <w:t xml:space="preserve"> - Chambre 11,30 m²</w:t>
        <w:br/>
        <w:t xml:space="preserve"> - Couloir 11,</w:t>
      </w:r>
      <w:r>
        <w:rPr>
          <w:sz w:val="22"/>
          <w:szCs w:val="18"/>
        </w:rPr>
        <w:t xml:space="preserve">20 m²</w:t>
        <w:br/>
        <w:t xml:space="preserve"> - Cuisine 22,90 m²</w:t>
        <w:br/>
        <w:t xml:space="preserve"> - Salle de bains WC /6,4 m²</w:t>
        <w:br/>
        <w:t xml:space="preserve"> - Salon 31 m²</w:t>
      </w:r>
      <w:r>
        <w:rPr>
          <w:sz w:val="22"/>
          <w:szCs w:val="18"/>
        </w:rPr>
        <w:br/>
      </w:r>
      <w:r>
        <w:rPr>
          <w:b/>
          <w:bCs/>
          <w:sz w:val="22"/>
          <w:szCs w:val="18"/>
        </w:rPr>
        <w:t xml:space="preserve">DÉPENDANCES:</w:t>
      </w:r>
      <w:r>
        <w:rPr>
          <w:sz w:val="22"/>
          <w:szCs w:val="18"/>
        </w:rPr>
        <w:br/>
        <w:t xml:space="preserve"> - Local chaudière 0,3 m²</w:t>
      </w:r>
      <w:r>
        <w:rPr>
          <w:sz w:val="22"/>
          <w:szCs w:val="18"/>
        </w:rPr>
        <w:br/>
      </w:r>
      <w:r>
        <w:rPr>
          <w:b/>
          <w:bCs/>
          <w:sz w:val="22"/>
          <w:szCs w:val="18"/>
        </w:rPr>
        <w:t xml:space="preserve">DPE:</w:t>
      </w:r>
      <w:r>
        <w:rPr>
          <w:sz w:val="22"/>
          <w:szCs w:val="18"/>
        </w:rPr>
        <w:br/>
        <w:t xml:space="preserve"> - Consommation énergétique (en énergie primaire): 182 KWHep/m²an D</w:t>
        <w:br/>
        <w:t xml:space="preserve"> - Emission de gaz à effet de serre: 32 Kgco2/m²an D</w:t>
        <w:br/>
        <w:t xml:space="preserve"> - Date de réalisat</w:t>
      </w:r>
      <w:r>
        <w:rPr>
          <w:sz w:val="22"/>
          <w:szCs w:val="18"/>
        </w:rPr>
        <w:t xml:space="preserve">ion DPE 07/05/82024</w:t>
        <w:br/>
        <w:t xml:space="preserve"> - Montant bas supposé et théorique des dépenses énergétiques: 1160 €</w:t>
        <w:br/>
        <w:t xml:space="preserve"> - Montant haut supposé et théorique des dépenses énergétiques: 1570 €</w:t>
        <w:br/>
      </w:r>
      <w:r>
        <w:rPr>
          <w:b/>
          <w:bCs/>
          <w:sz w:val="22"/>
          <w:szCs w:val="18"/>
        </w:rPr>
        <w:t xml:space="preserve">CHAUFFAGE:</w:t>
      </w:r>
      <w:r>
        <w:rPr>
          <w:sz w:val="22"/>
          <w:szCs w:val="18"/>
        </w:rPr>
        <w:br/>
        <w:t xml:space="preserve"> - CC Gaz chaudière qui à 15 ans et un cumulus pour l'eau qui date de juin 2024 - L</w:t>
      </w:r>
      <w:r>
        <w:rPr>
          <w:sz w:val="22"/>
          <w:szCs w:val="18"/>
        </w:rPr>
        <w:t xml:space="preserve">es radiateurs datent de Octobre 2023</w:t>
        <w:br/>
      </w:r>
      <w:r>
        <w:rPr>
          <w:b/>
          <w:bCs/>
          <w:sz w:val="22"/>
          <w:szCs w:val="18"/>
        </w:rPr>
        <w:t xml:space="preserve">EQUIPEMENTS DIVERS:</w:t>
      </w:r>
      <w:r>
        <w:rPr>
          <w:sz w:val="22"/>
          <w:szCs w:val="18"/>
        </w:rPr>
        <w:br/>
        <w:t xml:space="preserve"> - Double vitrage </w:t>
        <w:br/>
        <w:t xml:space="preserve"> -  plafonniers ventilateurs</w:t>
        <w:br/>
      </w:r>
      <w:r>
        <w:rPr>
          <w:b/>
          <w:bCs/>
          <w:sz w:val="22"/>
          <w:szCs w:val="18"/>
        </w:rPr>
        <w:t xml:space="preserve">FENÊTRES:</w:t>
      </w:r>
      <w:r>
        <w:rPr>
          <w:sz w:val="22"/>
          <w:szCs w:val="18"/>
        </w:rPr>
        <w:br/>
        <w:t xml:space="preserve"> - Bois double vitrage avec volets en bois battant</w:t>
        <w:br/>
      </w:r>
      <w:r>
        <w:rPr>
          <w:b/>
          <w:bCs/>
          <w:sz w:val="22"/>
          <w:szCs w:val="18"/>
        </w:rPr>
        <w:t xml:space="preserve">LOI ALUR:</w:t>
      </w:r>
      <w:r>
        <w:rPr>
          <w:sz w:val="22"/>
          <w:szCs w:val="18"/>
        </w:rPr>
        <w:br/>
        <w:t xml:space="preserve"> - Bien soumis au régime de copropriété:  syndic de copropriété Foncia</w:t>
        <w:br/>
        <w:t xml:space="preserve"> - Nbr</w:t>
      </w:r>
      <w:r>
        <w:rPr>
          <w:sz w:val="22"/>
          <w:szCs w:val="18"/>
        </w:rPr>
        <w:t xml:space="preserve">e de lots: 16</w:t>
        <w:br/>
        <w:t xml:space="preserve"> - Charges annuelles moyennes de copro.: 960 €</w:t>
        <w:br/>
      </w:r>
      <w:r>
        <w:rPr>
          <w:b/>
          <w:bCs/>
          <w:sz w:val="22"/>
          <w:szCs w:val="18"/>
        </w:rPr>
        <w:t xml:space="preserve">SERVICES:</w:t>
      </w:r>
      <w:r>
        <w:rPr>
          <w:sz w:val="22"/>
          <w:szCs w:val="18"/>
        </w:rPr>
        <w:br/>
        <w:t xml:space="preserve"> - Aéroport 1 h 30 Toulouse</w:t>
        <w:br/>
        <w:t xml:space="preserve"> - Autoroute 15 km</w:t>
        <w:br/>
        <w:t xml:space="preserve"> - Commerces </w:t>
        <w:br/>
        <w:t xml:space="preserve"> - Ecole </w:t>
        <w:br/>
        <w:t xml:space="preserve"> - Gare </w:t>
        <w:br/>
        <w:t xml:space="preserve"> - Hôpital </w:t>
        <w:br/>
        <w:t xml:space="preserve"> - Internet / ADSL </w:t>
        <w:br/>
        <w:t xml:space="preserve"> - Secteur Sauvegardé </w:t>
        <w:br/>
      </w:r>
      <w:r>
        <w:rPr>
          <w:b/>
          <w:bCs/>
          <w:sz w:val="22"/>
          <w:szCs w:val="18"/>
        </w:rPr>
        <w:t xml:space="preserve">TOITURE:</w:t>
      </w:r>
      <w:r>
        <w:rPr>
          <w:sz w:val="22"/>
          <w:szCs w:val="18"/>
        </w:rPr>
        <w:br/>
        <w:t xml:space="preserve"> - Tuiles </w:t>
        <w:br/>
      </w:r>
      <w:r>
        <w:rPr>
          <w:b/>
          <w:bCs/>
          <w:sz w:val="22"/>
          <w:szCs w:val="18"/>
        </w:rPr>
        <w:t xml:space="preserve">OPTIONS WEB:</w:t>
      </w:r>
      <w:r>
        <w:rPr>
          <w:sz w:val="22"/>
          <w:szCs w:val="18"/>
        </w:rPr>
        <w:br/>
        <w:t xml:space="preserve"> - Nouveauté </w:t>
        <w:br/>
      </w:r>
      <w:r/>
      <w:r>
        <w:rPr>
          <w:sz w:val="22"/>
          <w:szCs w:val="18"/>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rPr>
        <w:t xml:space="preserve">A l'issue de cette visite, j'ai évalué ce bien entre </w:t>
      </w:r>
      <w:r>
        <w:rPr>
          <w:b/>
          <w:sz w:val="22"/>
          <w:szCs w:val="18"/>
        </w:rPr>
        <w:t xml:space="preserve">87 000 €</w:t>
      </w:r>
      <w:r>
        <w:rPr>
          <w:sz w:val="22"/>
          <w:szCs w:val="18"/>
        </w:rPr>
        <w:t xml:space="preserve"> (</w:t>
      </w:r>
      <w:r>
        <w:rPr>
          <w:b/>
          <w:sz w:val="22"/>
          <w:szCs w:val="18"/>
        </w:rPr>
        <w:t xml:space="preserve">cent quatre-vingts sept mille euros</w:t>
      </w:r>
      <w:r>
        <w:rPr>
          <w:sz w:val="22"/>
          <w:szCs w:val="18"/>
        </w:rPr>
        <w:t xml:space="preserve">) et </w:t>
      </w:r>
      <w:r>
        <w:rPr>
          <w:b/>
          <w:sz w:val="22"/>
          <w:szCs w:val="18"/>
        </w:rPr>
        <w:t xml:space="preserve">93 000 €</w:t>
      </w:r>
      <w:r>
        <w:rPr>
          <w:sz w:val="22"/>
          <w:szCs w:val="18"/>
        </w:rPr>
        <w:t xml:space="preserve"> (</w:t>
      </w:r>
      <w:r>
        <w:rPr>
          <w:b/>
          <w:sz w:val="22"/>
          <w:szCs w:val="18"/>
        </w:rPr>
        <w:t xml:space="preserve">cent quatre-vingts treize mille euros</w:t>
      </w:r>
      <w:r>
        <w:rPr>
          <w:sz w:val="22"/>
          <w:szCs w:val="18"/>
        </w:rPr>
        <w:t xml:space="preserve">). 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r>
        <w:rPr>
          <w:sz w:val="22"/>
          <w:szCs w:val="18"/>
          <w:highlight w:val="none"/>
        </w:rPr>
      </w:r>
      <w:r>
        <w:rPr>
          <w:sz w:val="22"/>
          <w:szCs w:val="18"/>
          <w:highlight w:val="none"/>
        </w:rPr>
      </w:r>
      <w:r>
        <w:rPr>
          <w:sz w:val="22"/>
          <w:szCs w:val="22"/>
          <w:highlight w:val="none"/>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20 08 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right"/>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745"/>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41"/>
            <w:rPr>
              <w:sz w:val="20"/>
              <w:shd w:val="clear" w:color="auto" w:fill="ffffff"/>
            </w:rPr>
          </w:pPr>
          <w:r>
            <w:rPr>
              <w:sz w:val="20"/>
              <w:shd w:val="clear" w:color="auto" w:fill="ffffff"/>
            </w:rPr>
          </w:r>
          <w:r/>
        </w:p>
        <w:p>
          <w:pPr>
            <w:pStyle w:val="741"/>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741"/>
            <w:rPr>
              <w:sz w:val="20"/>
              <w:shd w:val="clear" w:color="auto" w:fill="ffffff"/>
            </w:rPr>
          </w:pPr>
          <w:r>
            <w:rPr>
              <w:sz w:val="20"/>
              <w:shd w:val="clear" w:color="auto" w:fill="ffffff"/>
            </w:rPr>
          </w:r>
          <w:r/>
        </w:p>
        <w:p>
          <w:pPr>
            <w:pStyle w:val="741"/>
            <w:jc w:val="center"/>
            <w:rPr>
              <w:b/>
              <w:sz w:val="20"/>
              <w:shd w:val="clear" w:color="auto" w:fill="ffffff"/>
            </w:rPr>
          </w:pPr>
          <w:r>
            <w:rPr>
              <w:b/>
              <w:sz w:val="36"/>
              <w:shd w:val="clear" w:color="auto" w:fill="ffffff"/>
            </w:rPr>
            <w:t xml:space="preserve">Immobilier Quercy Transactions</w:t>
          </w:r>
          <w:r/>
        </w:p>
        <w:p>
          <w:pPr>
            <w:pStyle w:val="741"/>
            <w:jc w:val="center"/>
            <w:rPr>
              <w:b/>
              <w:sz w:val="20"/>
              <w:shd w:val="clear" w:color="auto" w:fill="ffffff"/>
            </w:rPr>
          </w:pPr>
          <w:r>
            <w:rPr>
              <w:b/>
              <w:sz w:val="20"/>
              <w:shd w:val="clear" w:color="auto" w:fill="ffffff"/>
            </w:rPr>
            <w:t xml:space="preserve">3, Place Jean-Jacques Chapou (place de la Cathédrale)</w:t>
          </w:r>
          <w:r/>
        </w:p>
        <w:p>
          <w:pPr>
            <w:pStyle w:val="741"/>
            <w:jc w:val="center"/>
            <w:rPr>
              <w:b/>
              <w:sz w:val="20"/>
              <w:shd w:val="clear" w:color="auto" w:fill="ffffff"/>
            </w:rPr>
          </w:pPr>
          <w:r>
            <w:rPr>
              <w:b/>
              <w:sz w:val="20"/>
              <w:shd w:val="clear" w:color="auto" w:fill="ffffff"/>
            </w:rPr>
            <w:t xml:space="preserve">46000 CAHORS</w:t>
          </w:r>
          <w:r/>
        </w:p>
        <w:p>
          <w:pPr>
            <w:pStyle w:val="741"/>
            <w:jc w:val="center"/>
            <w:rPr>
              <w:b/>
              <w:sz w:val="20"/>
              <w:shd w:val="clear" w:color="auto" w:fill="ffffff"/>
            </w:rPr>
          </w:pPr>
          <w:r>
            <w:rPr>
              <w:b/>
              <w:sz w:val="20"/>
              <w:shd w:val="clear" w:color="auto" w:fill="ffffff"/>
            </w:rPr>
            <w:t xml:space="preserve">Tél : 05 65 53 24 76 - contact@quercy-transactions.com</w:t>
          </w:r>
          <w:r/>
        </w:p>
        <w:p>
          <w:pPr>
            <w:pStyle w:val="741"/>
            <w:jc w:val="center"/>
            <w:rPr>
              <w:sz w:val="20"/>
              <w:shd w:val="clear" w:color="auto" w:fill="ffffff"/>
            </w:rPr>
          </w:pPr>
          <w:r>
            <w:rPr>
              <w:b/>
              <w:sz w:val="20"/>
              <w:shd w:val="clear" w:color="auto" w:fill="ffffff"/>
            </w:rPr>
            <w:t xml:space="preserve">www.quercy-transactions.com</w:t>
          </w:r>
          <w:r/>
        </w:p>
      </w:tc>
    </w:tr>
  </w:tbl>
  <w:p>
    <w:pPr>
      <w:pStyle w:val="741"/>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43"/>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4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7"/>
    <w:next w:val="73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8"/>
    <w:link w:val="12"/>
    <w:uiPriority w:val="9"/>
    <w:rPr>
      <w:rFonts w:ascii="Arial" w:hAnsi="Arial" w:eastAsia="Arial" w:cs="Arial"/>
      <w:sz w:val="40"/>
      <w:szCs w:val="40"/>
    </w:rPr>
  </w:style>
  <w:style w:type="paragraph" w:styleId="14">
    <w:name w:val="Heading 2"/>
    <w:basedOn w:val="737"/>
    <w:next w:val="73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38"/>
    <w:link w:val="14"/>
    <w:uiPriority w:val="9"/>
    <w:rPr>
      <w:rFonts w:ascii="Arial" w:hAnsi="Arial" w:eastAsia="Arial" w:cs="Arial"/>
      <w:sz w:val="34"/>
    </w:rPr>
  </w:style>
  <w:style w:type="paragraph" w:styleId="16">
    <w:name w:val="Heading 3"/>
    <w:basedOn w:val="737"/>
    <w:next w:val="73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38"/>
    <w:link w:val="16"/>
    <w:uiPriority w:val="9"/>
    <w:rPr>
      <w:rFonts w:ascii="Arial" w:hAnsi="Arial" w:eastAsia="Arial" w:cs="Arial"/>
      <w:sz w:val="30"/>
      <w:szCs w:val="30"/>
    </w:rPr>
  </w:style>
  <w:style w:type="paragraph" w:styleId="18">
    <w:name w:val="Heading 4"/>
    <w:basedOn w:val="737"/>
    <w:next w:val="73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38"/>
    <w:link w:val="18"/>
    <w:uiPriority w:val="9"/>
    <w:rPr>
      <w:rFonts w:ascii="Arial" w:hAnsi="Arial" w:eastAsia="Arial" w:cs="Arial"/>
      <w:b/>
      <w:bCs/>
      <w:sz w:val="26"/>
      <w:szCs w:val="26"/>
    </w:rPr>
  </w:style>
  <w:style w:type="paragraph" w:styleId="20">
    <w:name w:val="Heading 5"/>
    <w:basedOn w:val="737"/>
    <w:next w:val="73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8"/>
    <w:link w:val="20"/>
    <w:uiPriority w:val="9"/>
    <w:rPr>
      <w:rFonts w:ascii="Arial" w:hAnsi="Arial" w:eastAsia="Arial" w:cs="Arial"/>
      <w:b/>
      <w:bCs/>
      <w:sz w:val="24"/>
      <w:szCs w:val="24"/>
    </w:rPr>
  </w:style>
  <w:style w:type="paragraph" w:styleId="22">
    <w:name w:val="Heading 6"/>
    <w:basedOn w:val="737"/>
    <w:next w:val="73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8"/>
    <w:link w:val="22"/>
    <w:uiPriority w:val="9"/>
    <w:rPr>
      <w:rFonts w:ascii="Arial" w:hAnsi="Arial" w:eastAsia="Arial" w:cs="Arial"/>
      <w:b/>
      <w:bCs/>
      <w:sz w:val="22"/>
      <w:szCs w:val="22"/>
    </w:rPr>
  </w:style>
  <w:style w:type="paragraph" w:styleId="24">
    <w:name w:val="Heading 7"/>
    <w:basedOn w:val="737"/>
    <w:next w:val="73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8"/>
    <w:link w:val="24"/>
    <w:uiPriority w:val="9"/>
    <w:rPr>
      <w:rFonts w:ascii="Arial" w:hAnsi="Arial" w:eastAsia="Arial" w:cs="Arial"/>
      <w:b/>
      <w:bCs/>
      <w:i/>
      <w:iCs/>
      <w:sz w:val="22"/>
      <w:szCs w:val="22"/>
    </w:rPr>
  </w:style>
  <w:style w:type="paragraph" w:styleId="26">
    <w:name w:val="Heading 8"/>
    <w:basedOn w:val="737"/>
    <w:next w:val="73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8"/>
    <w:link w:val="26"/>
    <w:uiPriority w:val="9"/>
    <w:rPr>
      <w:rFonts w:ascii="Arial" w:hAnsi="Arial" w:eastAsia="Arial" w:cs="Arial"/>
      <w:i/>
      <w:iCs/>
      <w:sz w:val="22"/>
      <w:szCs w:val="22"/>
    </w:rPr>
  </w:style>
  <w:style w:type="paragraph" w:styleId="28">
    <w:name w:val="Heading 9"/>
    <w:basedOn w:val="737"/>
    <w:next w:val="73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8"/>
    <w:link w:val="28"/>
    <w:uiPriority w:val="9"/>
    <w:rPr>
      <w:rFonts w:ascii="Arial" w:hAnsi="Arial" w:eastAsia="Arial" w:cs="Arial"/>
      <w:i/>
      <w:iCs/>
      <w:sz w:val="21"/>
      <w:szCs w:val="21"/>
    </w:rPr>
  </w:style>
  <w:style w:type="paragraph" w:styleId="30">
    <w:name w:val="List Paragraph"/>
    <w:basedOn w:val="73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37"/>
    <w:next w:val="737"/>
    <w:link w:val="34"/>
    <w:uiPriority w:val="10"/>
    <w:qFormat/>
    <w:pPr>
      <w:contextualSpacing/>
      <w:spacing w:before="300" w:after="200"/>
    </w:pPr>
    <w:rPr>
      <w:sz w:val="48"/>
      <w:szCs w:val="48"/>
    </w:rPr>
  </w:style>
  <w:style w:type="character" w:styleId="34">
    <w:name w:val="Title Char"/>
    <w:basedOn w:val="738"/>
    <w:link w:val="33"/>
    <w:uiPriority w:val="10"/>
    <w:rPr>
      <w:sz w:val="48"/>
      <w:szCs w:val="48"/>
    </w:rPr>
  </w:style>
  <w:style w:type="paragraph" w:styleId="35">
    <w:name w:val="Subtitle"/>
    <w:basedOn w:val="737"/>
    <w:next w:val="737"/>
    <w:link w:val="36"/>
    <w:uiPriority w:val="11"/>
    <w:qFormat/>
    <w:pPr>
      <w:spacing w:before="200" w:after="200"/>
    </w:pPr>
    <w:rPr>
      <w:sz w:val="24"/>
      <w:szCs w:val="24"/>
    </w:rPr>
  </w:style>
  <w:style w:type="character" w:styleId="36">
    <w:name w:val="Subtitle Char"/>
    <w:basedOn w:val="738"/>
    <w:link w:val="35"/>
    <w:uiPriority w:val="11"/>
    <w:rPr>
      <w:sz w:val="24"/>
      <w:szCs w:val="24"/>
    </w:rPr>
  </w:style>
  <w:style w:type="paragraph" w:styleId="37">
    <w:name w:val="Quote"/>
    <w:basedOn w:val="737"/>
    <w:next w:val="737"/>
    <w:link w:val="38"/>
    <w:uiPriority w:val="29"/>
    <w:qFormat/>
    <w:pPr>
      <w:ind w:left="720" w:right="720"/>
    </w:pPr>
    <w:rPr>
      <w:i/>
    </w:rPr>
  </w:style>
  <w:style w:type="character" w:styleId="38">
    <w:name w:val="Quote Char"/>
    <w:link w:val="37"/>
    <w:uiPriority w:val="29"/>
    <w:rPr>
      <w:i/>
    </w:rPr>
  </w:style>
  <w:style w:type="paragraph" w:styleId="39">
    <w:name w:val="Intense Quote"/>
    <w:basedOn w:val="737"/>
    <w:next w:val="73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8"/>
    <w:link w:val="747"/>
    <w:uiPriority w:val="99"/>
  </w:style>
  <w:style w:type="character" w:styleId="44">
    <w:name w:val="Footer Char"/>
    <w:basedOn w:val="738"/>
    <w:link w:val="749"/>
    <w:uiPriority w:val="99"/>
  </w:style>
  <w:style w:type="paragraph" w:styleId="45">
    <w:name w:val="Caption"/>
    <w:basedOn w:val="737"/>
    <w:next w:val="737"/>
    <w:uiPriority w:val="35"/>
    <w:semiHidden/>
    <w:unhideWhenUsed/>
    <w:qFormat/>
    <w:pPr>
      <w:spacing w:line="276" w:lineRule="auto"/>
    </w:pPr>
    <w:rPr>
      <w:b/>
      <w:bCs/>
      <w:color w:val="4f81bd" w:themeColor="accent1"/>
      <w:sz w:val="18"/>
      <w:szCs w:val="18"/>
    </w:rPr>
  </w:style>
  <w:style w:type="character" w:styleId="46">
    <w:name w:val="Caption Char"/>
    <w:basedOn w:val="45"/>
    <w:link w:val="749"/>
    <w:uiPriority w:val="99"/>
  </w:style>
  <w:style w:type="table" w:styleId="48">
    <w:name w:val="Table Grid Light"/>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3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8"/>
    <w:uiPriority w:val="99"/>
    <w:unhideWhenUsed/>
    <w:rPr>
      <w:vertAlign w:val="superscript"/>
    </w:rPr>
  </w:style>
  <w:style w:type="paragraph" w:styleId="177">
    <w:name w:val="endnote text"/>
    <w:basedOn w:val="73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8"/>
    <w:uiPriority w:val="99"/>
    <w:semiHidden/>
    <w:unhideWhenUsed/>
    <w:rPr>
      <w:vertAlign w:val="superscript"/>
    </w:rPr>
  </w:style>
  <w:style w:type="paragraph" w:styleId="180">
    <w:name w:val="toc 1"/>
    <w:basedOn w:val="737"/>
    <w:next w:val="737"/>
    <w:uiPriority w:val="39"/>
    <w:unhideWhenUsed/>
    <w:pPr>
      <w:ind w:left="0" w:right="0" w:firstLine="0"/>
      <w:spacing w:after="57"/>
    </w:pPr>
  </w:style>
  <w:style w:type="paragraph" w:styleId="181">
    <w:name w:val="toc 2"/>
    <w:basedOn w:val="737"/>
    <w:next w:val="737"/>
    <w:uiPriority w:val="39"/>
    <w:unhideWhenUsed/>
    <w:pPr>
      <w:ind w:left="283" w:right="0" w:firstLine="0"/>
      <w:spacing w:after="57"/>
    </w:pPr>
  </w:style>
  <w:style w:type="paragraph" w:styleId="182">
    <w:name w:val="toc 3"/>
    <w:basedOn w:val="737"/>
    <w:next w:val="737"/>
    <w:uiPriority w:val="39"/>
    <w:unhideWhenUsed/>
    <w:pPr>
      <w:ind w:left="567" w:right="0" w:firstLine="0"/>
      <w:spacing w:after="57"/>
    </w:pPr>
  </w:style>
  <w:style w:type="paragraph" w:styleId="183">
    <w:name w:val="toc 4"/>
    <w:basedOn w:val="737"/>
    <w:next w:val="737"/>
    <w:uiPriority w:val="39"/>
    <w:unhideWhenUsed/>
    <w:pPr>
      <w:ind w:left="850" w:right="0" w:firstLine="0"/>
      <w:spacing w:after="57"/>
    </w:pPr>
  </w:style>
  <w:style w:type="paragraph" w:styleId="184">
    <w:name w:val="toc 5"/>
    <w:basedOn w:val="737"/>
    <w:next w:val="737"/>
    <w:uiPriority w:val="39"/>
    <w:unhideWhenUsed/>
    <w:pPr>
      <w:ind w:left="1134" w:right="0" w:firstLine="0"/>
      <w:spacing w:after="57"/>
    </w:pPr>
  </w:style>
  <w:style w:type="paragraph" w:styleId="185">
    <w:name w:val="toc 6"/>
    <w:basedOn w:val="737"/>
    <w:next w:val="737"/>
    <w:uiPriority w:val="39"/>
    <w:unhideWhenUsed/>
    <w:pPr>
      <w:ind w:left="1417" w:right="0" w:firstLine="0"/>
      <w:spacing w:after="57"/>
    </w:pPr>
  </w:style>
  <w:style w:type="paragraph" w:styleId="186">
    <w:name w:val="toc 7"/>
    <w:basedOn w:val="737"/>
    <w:next w:val="737"/>
    <w:uiPriority w:val="39"/>
    <w:unhideWhenUsed/>
    <w:pPr>
      <w:ind w:left="1701" w:right="0" w:firstLine="0"/>
      <w:spacing w:after="57"/>
    </w:pPr>
  </w:style>
  <w:style w:type="paragraph" w:styleId="187">
    <w:name w:val="toc 8"/>
    <w:basedOn w:val="737"/>
    <w:next w:val="737"/>
    <w:uiPriority w:val="39"/>
    <w:unhideWhenUsed/>
    <w:pPr>
      <w:ind w:left="1984" w:right="0" w:firstLine="0"/>
      <w:spacing w:after="57"/>
    </w:pPr>
  </w:style>
  <w:style w:type="paragraph" w:styleId="188">
    <w:name w:val="toc 9"/>
    <w:basedOn w:val="737"/>
    <w:next w:val="73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7"/>
    <w:next w:val="737"/>
    <w:uiPriority w:val="99"/>
    <w:unhideWhenUsed/>
    <w:pPr>
      <w:spacing w:after="0" w:afterAutospacing="0"/>
    </w:pPr>
  </w:style>
  <w:style w:type="paragraph" w:styleId="737" w:default="1">
    <w:name w:val="Normal"/>
    <w:qFormat/>
    <w:pPr>
      <w:ind w:left="1080"/>
      <w:spacing w:after="0" w:line="240" w:lineRule="auto"/>
    </w:pPr>
    <w:rPr>
      <w:rFonts w:hAnsi="Arial" w:eastAsia="Arial"/>
      <w:sz w:val="20"/>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paragraph" w:styleId="74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42" w:customStyle="1">
    <w:name w:val="Détail"/>
    <w:basedOn w:val="741"/>
    <w:qFormat/>
    <w:pPr>
      <w:numPr>
        <w:numId w:val="1"/>
      </w:numPr>
    </w:pPr>
  </w:style>
  <w:style w:type="paragraph" w:styleId="743" w:customStyle="1">
    <w:name w:val="Type de détail"/>
    <w:basedOn w:val="742"/>
    <w:qFormat/>
    <w:pPr>
      <w:numPr>
        <w:numId w:val="2"/>
      </w:numPr>
    </w:pPr>
    <w:rPr>
      <w:b/>
      <w:sz w:val="28"/>
    </w:rPr>
  </w:style>
  <w:style w:type="paragraph" w:styleId="744" w:customStyle="1">
    <w:name w:val="historique"/>
    <w:basedOn w:val="737"/>
    <w:qFormat/>
    <w:rPr>
      <w:sz w:val="16"/>
    </w:rPr>
  </w:style>
  <w:style w:type="paragraph" w:styleId="745" w:customStyle="1">
    <w:name w:val="Titre1"/>
    <w:basedOn w:val="741"/>
    <w:qFormat/>
    <w:rPr>
      <w:b/>
      <w:sz w:val="28"/>
    </w:rPr>
  </w:style>
  <w:style w:type="paragraph" w:styleId="746" w:customStyle="1">
    <w:name w:val="Alinéa"/>
    <w:basedOn w:val="741"/>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747">
    <w:name w:val="Header"/>
    <w:basedOn w:val="737"/>
    <w:link w:val="748"/>
    <w:pPr>
      <w:tabs>
        <w:tab w:val="center" w:pos="4536" w:leader="none"/>
        <w:tab w:val="right" w:pos="9072" w:leader="none"/>
      </w:tabs>
    </w:pPr>
  </w:style>
  <w:style w:type="character" w:styleId="748" w:customStyle="1">
    <w:name w:val="En-tête Car"/>
    <w:basedOn w:val="738"/>
    <w:link w:val="747"/>
    <w:rPr>
      <w:rFonts w:hAnsi="Arial" w:eastAsia="Arial"/>
      <w:sz w:val="20"/>
    </w:rPr>
  </w:style>
  <w:style w:type="paragraph" w:styleId="749">
    <w:name w:val="Footer"/>
    <w:basedOn w:val="737"/>
    <w:link w:val="750"/>
    <w:pPr>
      <w:tabs>
        <w:tab w:val="center" w:pos="4536" w:leader="none"/>
        <w:tab w:val="right" w:pos="9072" w:leader="none"/>
      </w:tabs>
    </w:pPr>
  </w:style>
  <w:style w:type="character" w:styleId="750" w:customStyle="1">
    <w:name w:val="Pied de page Car"/>
    <w:basedOn w:val="738"/>
    <w:link w:val="749"/>
    <w:rPr>
      <w:rFonts w:hAnsi="Arial" w:eastAsia="Arial"/>
      <w:sz w:val="20"/>
    </w:rPr>
  </w:style>
  <w:style w:type="table" w:styleId="751">
    <w:name w:val="Table Grid"/>
    <w:basedOn w:val="7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2">
    <w:name w:val="Default Paragraph Font PHPDOCX"/>
    <w:uiPriority w:val="1"/>
    <w:semiHidden/>
    <w:unhideWhenUsed/>
  </w:style>
  <w:style w:type="paragraph" w:styleId="753">
    <w:name w:val="List Paragraph PHPDOCX"/>
    <w:basedOn w:val="737"/>
    <w:uiPriority w:val="34"/>
    <w:qFormat/>
    <w:pPr>
      <w:contextualSpacing/>
      <w:ind w:left="720"/>
    </w:pPr>
  </w:style>
  <w:style w:type="paragraph" w:styleId="754">
    <w:name w:val="Title PHPDOCX"/>
    <w:basedOn w:val="737"/>
    <w:next w:val="737"/>
    <w:link w:val="7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55" w:customStyle="1">
    <w:name w:val="Title Car PHPDOCX"/>
    <w:basedOn w:val="752"/>
    <w:link w:val="754"/>
    <w:uiPriority w:val="10"/>
    <w:rPr>
      <w:rFonts w:asciiTheme="majorHAnsi" w:hAnsiTheme="majorHAnsi" w:eastAsiaTheme="majorEastAsia" w:cstheme="majorBidi"/>
      <w:color w:val="17365d" w:themeColor="text2" w:themeShade="BF"/>
      <w:spacing w:val="5"/>
      <w:sz w:val="52"/>
      <w:szCs w:val="52"/>
    </w:rPr>
  </w:style>
  <w:style w:type="paragraph" w:styleId="756">
    <w:name w:val="Subtitle PHPDOCX"/>
    <w:basedOn w:val="737"/>
    <w:next w:val="737"/>
    <w:link w:val="7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57" w:customStyle="1">
    <w:name w:val="Subtitle Car PHPDOCX"/>
    <w:basedOn w:val="752"/>
    <w:link w:val="756"/>
    <w:uiPriority w:val="11"/>
    <w:rPr>
      <w:rFonts w:asciiTheme="majorHAnsi" w:hAnsiTheme="majorHAnsi" w:eastAsiaTheme="majorEastAsia" w:cstheme="majorBidi"/>
      <w:i/>
      <w:iCs/>
      <w:color w:val="4f81bd" w:themeColor="accent1"/>
      <w:spacing w:val="15"/>
      <w:sz w:val="24"/>
      <w:szCs w:val="24"/>
    </w:rPr>
  </w:style>
  <w:style w:type="table" w:styleId="7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0">
    <w:name w:val="annotation reference PHPDOCX"/>
    <w:basedOn w:val="752"/>
    <w:uiPriority w:val="99"/>
    <w:semiHidden/>
    <w:unhideWhenUsed/>
    <w:rPr>
      <w:sz w:val="16"/>
      <w:szCs w:val="16"/>
    </w:rPr>
  </w:style>
  <w:style w:type="paragraph" w:styleId="761">
    <w:name w:val="annotation text PHPDOCX"/>
    <w:basedOn w:val="737"/>
    <w:link w:val="762"/>
    <w:uiPriority w:val="99"/>
    <w:semiHidden/>
    <w:unhideWhenUsed/>
    <w:pPr>
      <w:spacing w:line="240" w:lineRule="auto"/>
    </w:pPr>
    <w:rPr>
      <w:sz w:val="20"/>
      <w:szCs w:val="20"/>
    </w:rPr>
  </w:style>
  <w:style w:type="character" w:styleId="762" w:customStyle="1">
    <w:name w:val="Comment Text Char PHPDOCX"/>
    <w:basedOn w:val="752"/>
    <w:link w:val="761"/>
    <w:uiPriority w:val="99"/>
    <w:semiHidden/>
    <w:rPr>
      <w:sz w:val="20"/>
      <w:szCs w:val="20"/>
    </w:rPr>
  </w:style>
  <w:style w:type="paragraph" w:styleId="763">
    <w:name w:val="annotation subject PHPDOCX"/>
    <w:basedOn w:val="761"/>
    <w:next w:val="761"/>
    <w:link w:val="764"/>
    <w:uiPriority w:val="99"/>
    <w:semiHidden/>
    <w:unhideWhenUsed/>
    <w:rPr>
      <w:b/>
      <w:bCs/>
    </w:rPr>
  </w:style>
  <w:style w:type="character" w:styleId="764" w:customStyle="1">
    <w:name w:val="Comment Subject Char PHPDOCX"/>
    <w:basedOn w:val="762"/>
    <w:link w:val="763"/>
    <w:uiPriority w:val="99"/>
    <w:semiHidden/>
    <w:rPr>
      <w:b/>
      <w:bCs/>
      <w:sz w:val="20"/>
      <w:szCs w:val="20"/>
    </w:rPr>
  </w:style>
  <w:style w:type="paragraph" w:styleId="765">
    <w:name w:val="Balloon Text PHPDOCX"/>
    <w:basedOn w:val="737"/>
    <w:link w:val="766"/>
    <w:uiPriority w:val="99"/>
    <w:semiHidden/>
    <w:unhideWhenUsed/>
    <w:pPr>
      <w:spacing w:after="0" w:line="240" w:lineRule="auto"/>
    </w:pPr>
    <w:rPr>
      <w:rFonts w:ascii="Tahoma" w:hAnsi="Tahoma" w:cs="Tahoma"/>
      <w:sz w:val="16"/>
      <w:szCs w:val="16"/>
    </w:rPr>
  </w:style>
  <w:style w:type="character" w:styleId="766" w:customStyle="1">
    <w:name w:val="Balloon Text Char PHPDOCX"/>
    <w:basedOn w:val="752"/>
    <w:link w:val="765"/>
    <w:uiPriority w:val="99"/>
    <w:semiHidden/>
    <w:rPr>
      <w:rFonts w:ascii="Tahoma" w:hAnsi="Tahoma" w:cs="Tahoma"/>
      <w:sz w:val="16"/>
      <w:szCs w:val="16"/>
    </w:rPr>
  </w:style>
  <w:style w:type="paragraph" w:styleId="767">
    <w:name w:val="footnote Text PHPDOCX"/>
    <w:basedOn w:val="737"/>
    <w:link w:val="768"/>
    <w:uiPriority w:val="99"/>
    <w:semiHidden/>
    <w:unhideWhenUsed/>
    <w:pPr>
      <w:spacing w:after="0" w:line="240" w:lineRule="auto"/>
    </w:pPr>
    <w:rPr>
      <w:sz w:val="20"/>
      <w:szCs w:val="20"/>
    </w:rPr>
  </w:style>
  <w:style w:type="character" w:styleId="768" w:customStyle="1">
    <w:name w:val="footnote Text Car PHPDOCX"/>
    <w:basedOn w:val="752"/>
    <w:link w:val="767"/>
    <w:uiPriority w:val="99"/>
    <w:semiHidden/>
    <w:rPr>
      <w:sz w:val="20"/>
      <w:szCs w:val="20"/>
    </w:rPr>
  </w:style>
  <w:style w:type="character" w:styleId="769">
    <w:name w:val="footnote Reference PHPDOCX"/>
    <w:basedOn w:val="752"/>
    <w:uiPriority w:val="99"/>
    <w:semiHidden/>
    <w:unhideWhenUsed/>
    <w:rPr>
      <w:vertAlign w:val="superscript"/>
    </w:rPr>
  </w:style>
  <w:style w:type="paragraph" w:styleId="770">
    <w:name w:val="endnote Text PHPDOCX"/>
    <w:basedOn w:val="737"/>
    <w:link w:val="771"/>
    <w:uiPriority w:val="99"/>
    <w:semiHidden/>
    <w:unhideWhenUsed/>
    <w:pPr>
      <w:spacing w:after="0" w:line="240" w:lineRule="auto"/>
    </w:pPr>
    <w:rPr>
      <w:sz w:val="20"/>
      <w:szCs w:val="20"/>
    </w:rPr>
  </w:style>
  <w:style w:type="character" w:styleId="771" w:customStyle="1">
    <w:name w:val="endnote Text Car PHPDOCX"/>
    <w:basedOn w:val="752"/>
    <w:link w:val="770"/>
    <w:uiPriority w:val="99"/>
    <w:semiHidden/>
    <w:rPr>
      <w:sz w:val="20"/>
      <w:szCs w:val="20"/>
    </w:rPr>
  </w:style>
  <w:style w:type="character" w:styleId="772">
    <w:name w:val="endnote Reference PHPDOCX"/>
    <w:basedOn w:val="7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hyperlink" Target="file://///192.168.1.100/activimmo/"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22</cp:revision>
  <dcterms:created xsi:type="dcterms:W3CDTF">2024-06-26T12:48:00Z</dcterms:created>
  <dcterms:modified xsi:type="dcterms:W3CDTF">2024-08-20T07:18:04Z</dcterms:modified>
</cp:coreProperties>
</file>