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668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6680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15 janvier 2025, une Maison Contemporaine sis 22 chemin de rigal-vigne petite 46000 CAHORS appartenant à Mr Borges  Georges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Cahors sud , sur une parcelle cadastrée DH 137 pour 3595m².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Ensemble immobilier comprenant une maison d'habitation de type 3 avec garage et garage/atelier attenants.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maison offre 84 m² de surface habitable, elle est pourvue d'un chauffage électrique par convecteurs.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garage/atelier attenant de 169 m² , est bati en blocs de beton avec couverture en plaque de fibro-ciment amiantées.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maison demande un rafraichissement.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 terrain est en état naturel.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DH 137 pour    3 595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Cellier 6,56m²</w:t>
      </w:r>
    </w:p>
    <w:p>
      <w:pPr>
        <w:pStyle w:val="Détail"/>
        <w:numPr>
          <w:ilvl w:val="0"/>
          <w:numId w:val="4"/>
        </w:numPr>
      </w:pPr>
      <w:r>
        <w:t xml:space="preserve">2 Chambres 11,50/15,00m²</w:t>
      </w:r>
    </w:p>
    <w:p>
      <w:pPr>
        <w:pStyle w:val="Détail"/>
        <w:numPr>
          <w:ilvl w:val="0"/>
          <w:numId w:val="4"/>
        </w:numPr>
      </w:pPr>
      <w:r>
        <w:t xml:space="preserve">Couloir 2,50m²</w:t>
      </w:r>
    </w:p>
    <w:p>
      <w:pPr>
        <w:pStyle w:val="Détail"/>
        <w:numPr>
          <w:ilvl w:val="0"/>
          <w:numId w:val="4"/>
        </w:numPr>
      </w:pPr>
      <w:r>
        <w:t xml:space="preserve">Cuisine 11,00m²</w:t>
      </w:r>
    </w:p>
    <w:p>
      <w:pPr>
        <w:pStyle w:val="Détail"/>
        <w:numPr>
          <w:ilvl w:val="0"/>
          <w:numId w:val="4"/>
        </w:numPr>
      </w:pPr>
      <w:r>
        <w:t xml:space="preserve">Garage 33,60m²</w:t>
      </w:r>
    </w:p>
    <w:p>
      <w:pPr>
        <w:pStyle w:val="Détail"/>
        <w:numPr>
          <w:ilvl w:val="0"/>
          <w:numId w:val="4"/>
        </w:numPr>
      </w:pPr>
      <w:r>
        <w:t xml:space="preserve">Pièce à vivre 31,00m²</w:t>
      </w:r>
    </w:p>
    <w:p>
      <w:pPr>
        <w:pStyle w:val="Détail"/>
        <w:numPr>
          <w:ilvl w:val="0"/>
          <w:numId w:val="4"/>
        </w:numPr>
      </w:pPr>
      <w:r>
        <w:t xml:space="preserve">Salle d'eau 6,20m²</w:t>
      </w:r>
    </w:p>
    <w:p>
      <w:pPr>
        <w:pStyle w:val="Détail"/>
        <w:numPr>
          <w:ilvl w:val="0"/>
          <w:numId w:val="4"/>
        </w:numPr>
      </w:pPr>
      <w:r>
        <w:t xml:space="preserve">Terrasse 20m²</w:t>
      </w:r>
    </w:p>
    <w:p>
      <w:pPr>
        <w:pStyle w:val="Détail"/>
        <w:numPr>
          <w:ilvl w:val="0"/>
          <w:numId w:val="4"/>
        </w:numPr>
      </w:pPr>
      <w:r>
        <w:t xml:space="preserve">WC 1,50m²</w:t>
      </w:r>
    </w:p>
    <w:p>
      <w:pPr>
        <w:pStyle w:val="Type de détail"/>
        <w:numPr>
          <w:ilvl w:val="0"/>
          <w:numId w:val="3"/>
        </w:numPr>
      </w:pPr>
      <w:r>
        <w:t xml:space="preserve">Dépendances:</w:t>
      </w:r>
    </w:p>
    <w:p>
      <w:pPr>
        <w:pStyle w:val="Détail"/>
        <w:numPr>
          <w:ilvl w:val="0"/>
          <w:numId w:val="4"/>
        </w:numPr>
      </w:pPr>
      <w:r>
        <w:t xml:space="preserve">Atelier 169,00m²(murs blocs beton / couverture plaques fibro amiantées)</w:t>
      </w:r>
    </w:p>
    <w:p>
      <w:pPr>
        <w:pStyle w:val="Type de détail"/>
        <w:numPr>
          <w:ilvl w:val="0"/>
          <w:numId w:val="3"/>
        </w:numPr>
      </w:pPr>
      <w:r>
        <w:t xml:space="preserve">DPE:</w:t>
      </w:r>
    </w:p>
    <w:p>
      <w:pPr>
        <w:pStyle w:val="Détail"/>
        <w:numPr>
          <w:ilvl w:val="0"/>
          <w:numId w:val="4"/>
        </w:numPr>
      </w:pPr>
      <w:r>
        <w:t xml:space="preserve">Consommation énergétique en énergie primaire non fourni</w:t>
      </w:r>
    </w:p>
    <w:p>
      <w:pPr>
        <w:pStyle w:val="Détail"/>
        <w:numPr>
          <w:ilvl w:val="0"/>
          <w:numId w:val="4"/>
        </w:numPr>
      </w:pPr>
      <w:r>
        <w:t xml:space="preserve">Emission de gaz à effet de serre non fourni</w:t>
      </w:r>
    </w:p>
    <w:p>
      <w:pPr>
        <w:pStyle w:val="Type de détail"/>
        <w:numPr>
          <w:ilvl w:val="0"/>
          <w:numId w:val="3"/>
        </w:numPr>
      </w:pPr>
      <w:r>
        <w:t xml:space="preserve">Chauffage:</w:t>
      </w:r>
    </w:p>
    <w:p>
      <w:pPr>
        <w:pStyle w:val="Détail"/>
        <w:numPr>
          <w:ilvl w:val="0"/>
          <w:numId w:val="4"/>
        </w:numPr>
      </w:pPr>
      <w:r>
        <w:t xml:space="preserve">Electrique convecteurs</w:t>
      </w:r>
    </w:p>
    <w:p>
      <w:pPr>
        <w:pStyle w:val="Détail"/>
        <w:numPr>
          <w:ilvl w:val="0"/>
          <w:numId w:val="4"/>
        </w:numPr>
      </w:pPr>
      <w:r>
        <w:t xml:space="preserve">Central granulés poele</w:t>
      </w:r>
    </w:p>
    <w:p>
      <w:pPr>
        <w:pStyle w:val="Type de détail"/>
        <w:numPr>
          <w:ilvl w:val="0"/>
          <w:numId w:val="3"/>
        </w:numPr>
      </w:pPr>
      <w:r>
        <w:t xml:space="preserve">Fenêtres:</w:t>
      </w:r>
    </w:p>
    <w:p>
      <w:pPr>
        <w:pStyle w:val="Détail"/>
        <w:numPr>
          <w:ilvl w:val="0"/>
          <w:numId w:val="4"/>
        </w:numPr>
      </w:pPr>
      <w:r>
        <w:t xml:space="preserve">PVC double vitrage</w:t>
      </w:r>
    </w:p>
    <w:p>
      <w:pPr>
        <w:pStyle w:val="Type de détail"/>
        <w:numPr>
          <w:ilvl w:val="0"/>
          <w:numId w:val="3"/>
        </w:numPr>
      </w:pPr>
      <w:r>
        <w:t xml:space="preserve">Terrain:</w:t>
      </w:r>
    </w:p>
    <w:p>
      <w:pPr>
        <w:pStyle w:val="Détail"/>
        <w:numPr>
          <w:ilvl w:val="0"/>
          <w:numId w:val="4"/>
        </w:numPr>
      </w:pPr>
      <w:r>
        <w:t xml:space="preserve">Terrain accessibilité "compliquée": passage véhicule à ras du mur de la maison du voisin</w:t>
      </w:r>
    </w:p>
    <w:p>
      <w:pPr>
        <w:pStyle w:val="Type de détail"/>
        <w:numPr>
          <w:ilvl w:val="0"/>
          <w:numId w:val="3"/>
        </w:numPr>
      </w:pPr>
      <w:r>
        <w:t xml:space="preserve">Toiture:</w:t>
      </w:r>
    </w:p>
    <w:p>
      <w:pPr>
        <w:pStyle w:val="Détail"/>
        <w:numPr>
          <w:ilvl w:val="0"/>
          <w:numId w:val="4"/>
        </w:numPr>
      </w:pPr>
      <w:r>
        <w:t xml:space="preserve">Tuiles pour la maison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126 000 €</w:t>
      </w:r>
      <w:r>
        <w:rPr>
          <w:sz w:val="24"/>
        </w:rPr>
        <w:t xml:space="preserve"> (</w:t>
      </w:r>
      <w:r>
        <w:rPr>
          <w:b w:val="on"/>
          <w:sz w:val="24"/>
        </w:rPr>
        <w:t xml:space="preserve">CENT VINGT SIX MILLE EUROS</w:t>
      </w:r>
      <w:r>
        <w:rPr>
          <w:sz w:val="24"/>
        </w:rPr>
        <w:t xml:space="preserve">) et </w:t>
      </w:r>
      <w:r>
        <w:rPr>
          <w:b w:val="on"/>
          <w:sz w:val="24"/>
        </w:rPr>
        <w:t xml:space="preserve">134 000 €</w:t>
      </w:r>
      <w:r>
        <w:rPr>
          <w:sz w:val="24"/>
        </w:rPr>
        <w:t xml:space="preserve"> (</w:t>
      </w:r>
      <w:r>
        <w:rPr>
          <w:b w:val="on"/>
          <w:sz w:val="24"/>
        </w:rPr>
        <w:t xml:space="preserve">CENT TRENTE  QUATRE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(J'évalue le hangar entre </w:t>
      </w:r>
      <w:r>
        <w:rPr>
          <w:b w:val="on"/>
          <w:sz w:val="24"/>
        </w:rPr>
        <w:t xml:space="preserve">250€ et 300€/m²</w:t>
      </w:r>
      <w:r>
        <w:rPr>
          <w:sz w:val="24"/>
        </w:rPr>
        <w:t xml:space="preserve"> , la maison à </w:t>
      </w:r>
      <w:r>
        <w:rPr>
          <w:b w:val="on"/>
          <w:sz w:val="24"/>
        </w:rPr>
        <w:t xml:space="preserve">1000€/m²</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géographique,de ses moeynes d'accés, du marché immobilier sur ce secteur et sous réserve du résultat favorable des expertises immobilières obligatoires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janvier 2025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