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2247900" cy="140462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247900" cy="1404620"/>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(Lot), atteste par la présente avoir visité le 22 décembre 2024, un(e) Maison Ancienne sis 178 chemin de foncebirone 46260 BEAUREGARD appartenant à Mr&amp; Mme Ferré et Faine Gaetan et Anais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r>
        <w:rPr>
          <w:color w:val="000000"/>
        </w:rPr>
        <w:t xml:space="preserve">Causse de Limognes , maison à terminer d'aménager offrant environ 105 m² de surface habitable avec dépendance sur un terrain cadastré AI 9/10/11 pour 5165m² (commune de Beauregard 46260).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105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AI 9/10/11 pour 5165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Buanderie 5,00m²</w:t>
      </w:r>
    </w:p>
    <w:p>
      <w:pPr>
        <w:pStyle w:val="Détail"/>
        <w:numPr>
          <w:ilvl w:val="0"/>
          <w:numId w:val="4"/>
        </w:numPr>
        <w:rPr>
          <w:sz w:val="20"/>
        </w:rPr>
      </w:pPr>
      <w:r>
        <w:rPr>
          <w:sz w:val="20"/>
        </w:rPr>
        <w:t xml:space="preserve">Hall d'entrée 15,00m²</w:t>
      </w:r>
    </w:p>
    <w:p>
      <w:pPr>
        <w:pStyle w:val="Détail"/>
        <w:numPr>
          <w:ilvl w:val="0"/>
          <w:numId w:val="4"/>
        </w:numPr>
        <w:rPr>
          <w:sz w:val="20"/>
        </w:rPr>
      </w:pPr>
      <w:r>
        <w:rPr>
          <w:sz w:val="20"/>
        </w:rPr>
        <w:t xml:space="preserve">Pièce à vivre avec cuisine ouverte 30,00m²</w:t>
      </w:r>
    </w:p>
    <w:p>
      <w:pPr>
        <w:pStyle w:val="Détail"/>
        <w:numPr>
          <w:ilvl w:val="0"/>
          <w:numId w:val="4"/>
        </w:numPr>
        <w:rPr>
          <w:sz w:val="20"/>
        </w:rPr>
      </w:pPr>
      <w:r>
        <w:rPr>
          <w:sz w:val="20"/>
        </w:rPr>
        <w:t xml:space="preserve">Salle de bains 6,00m²</w:t>
      </w:r>
    </w:p>
    <w:p>
      <w:pPr>
        <w:pStyle w:val="Détail"/>
        <w:numPr>
          <w:ilvl w:val="0"/>
          <w:numId w:val="4"/>
        </w:numPr>
        <w:rPr>
          <w:sz w:val="20"/>
        </w:rPr>
      </w:pPr>
      <w:r>
        <w:rPr>
          <w:sz w:val="20"/>
        </w:rPr>
        <w:t xml:space="preserve">WC 2,00m²</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2 Chambres 10,00 et 16,00 m²</w:t>
      </w:r>
    </w:p>
    <w:p>
      <w:pPr>
        <w:pStyle w:val="Détail"/>
        <w:numPr>
          <w:ilvl w:val="0"/>
          <w:numId w:val="4"/>
        </w:numPr>
        <w:rPr>
          <w:sz w:val="20"/>
        </w:rPr>
      </w:pPr>
      <w:r>
        <w:rPr>
          <w:sz w:val="20"/>
        </w:rPr>
        <w:t xml:space="preserve">Palier mezzanine : 20,00m²</w:t>
      </w:r>
    </w:p>
    <w:p>
      <w:pPr>
        <w:pStyle w:val="Type de détail"/>
        <w:numPr>
          <w:ilvl w:val="0"/>
          <w:numId w:val="3"/>
        </w:numPr>
        <w:rPr>
          <w:sz w:val="20"/>
        </w:rPr>
      </w:pPr>
      <w:r>
        <w:rPr>
          <w:sz w:val="20"/>
        </w:rPr>
        <w:t xml:space="preserve">Dépendances:</w:t>
      </w:r>
    </w:p>
    <w:p>
      <w:pPr>
        <w:pStyle w:val="Détail"/>
        <w:numPr>
          <w:ilvl w:val="0"/>
          <w:numId w:val="4"/>
        </w:numPr>
        <w:rPr>
          <w:sz w:val="20"/>
        </w:rPr>
      </w:pPr>
      <w:r>
        <w:rPr>
          <w:sz w:val="20"/>
        </w:rPr>
        <w:t xml:space="preserve">Cabanon 20 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non fourni</w:t>
      </w:r>
    </w:p>
    <w:p>
      <w:pPr>
        <w:pStyle w:val="Détail"/>
        <w:numPr>
          <w:ilvl w:val="0"/>
          <w:numId w:val="4"/>
        </w:numPr>
        <w:rPr>
          <w:sz w:val="20"/>
        </w:rPr>
      </w:pPr>
      <w:r>
        <w:rPr>
          <w:sz w:val="20"/>
        </w:rPr>
        <w:t xml:space="preserve">Emission de gaz à effet de serre non fourni</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bois</w:t>
      </w:r>
    </w:p>
    <w:p>
      <w:pPr>
        <w:pStyle w:val="Type de détail"/>
        <w:numPr>
          <w:ilvl w:val="0"/>
          <w:numId w:val="3"/>
        </w:numPr>
        <w:rPr>
          <w:sz w:val="20"/>
        </w:rPr>
      </w:pPr>
      <w:r>
        <w:rPr>
          <w:sz w:val="20"/>
        </w:rPr>
        <w:t xml:space="preserve">Fenêtres:</w:t>
      </w:r>
    </w:p>
    <w:p>
      <w:pPr>
        <w:pStyle w:val="Détail"/>
        <w:numPr>
          <w:ilvl w:val="0"/>
          <w:numId w:val="4"/>
        </w:numPr>
      </w:pPr>
      <w:r>
        <w:rPr>
          <w:sz w:val="20"/>
        </w:rPr>
        <w:t xml:space="preserve">Bois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 95000€</w:t>
      </w:r>
      <w:r>
        <w:rPr>
          <w:sz w:val="24"/>
        </w:rPr>
        <w:t xml:space="preserve"> (</w:t>
      </w:r>
      <w:r>
        <w:rPr>
          <w:b w:val="on"/>
          <w:sz w:val="24"/>
        </w:rPr>
        <w:t xml:space="preserve">QUATRE VINGT QUINZE MILLE  EUROS</w:t>
      </w:r>
      <w:r>
        <w:rPr>
          <w:sz w:val="24"/>
        </w:rPr>
        <w:t xml:space="preserve">) et </w:t>
      </w:r>
      <w:r>
        <w:rPr>
          <w:b w:val="on"/>
          <w:sz w:val="24"/>
        </w:rPr>
        <w:t xml:space="preserve"> 100000€</w:t>
      </w:r>
      <w:r>
        <w:rPr>
          <w:sz w:val="24"/>
        </w:rPr>
        <w:t xml:space="preserve"> (</w:t>
      </w:r>
      <w:r>
        <w:rPr>
          <w:b w:val="on"/>
          <w:sz w:val="24"/>
        </w:rPr>
        <w:t xml:space="preserve">CENT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immobilières obligatoires: termites,  électricité, gaz, 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22 décembre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7"/>
      <w:footerReference w:type="default" r:id="rId00008"/>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