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 21 novembre 2024, un Appartement sis  Rue Henri Martin 46000 CAHORS appartenant  à Madame Bio Ortega Antonia pour  une succession.</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centre-ville, appartement en rez de chaussée dans une copropriété d’une surface habitable d’environ 52 m2 qui se compose d’un couloir d 'entrée d’une cuisine séparée, d’un salon, d’une chambre, d’une salle d' eau , d’un cellier, un wc indépendant.1 Place de parking.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r>
        <w:t xml:space="preserve">Chauffage : Gaz de ville,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FF"/>
          <w:u w:val="single"/>
        </w:rPr>
      </w:pPr>
      <w:r>
        <w:br w:type="textWrapping"/>
      </w:r>
      <w:r>
        <w:t xml:space="preserve">Les informations sur les risques auxquels ce bien est exposé sont disponibles sur le site Géorisques </w:t>
      </w:r>
      <w:r>
        <w:rPr>
          <w:color w:val="0000FF"/>
          <w:u w:val="single"/>
        </w:rPr>
        <w:t xml:space="preserve">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52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322 BM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n°503 Appartement  et Lot  n° 628 Parking.</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bien:Centre-Ville.Rez de chaussée:Appartement,Cellier 3,19m2</w:t>
      </w:r>
    </w:p>
    <w:p>
      <w:pPr>
        <w:pStyle w:val="Détail"/>
        <w:numPr>
          <w:ilvl w:val="0"/>
          <w:numId w:val="0"/>
        </w:numPr>
        <w:ind w:left="0" w:firstLine="0"/>
      </w:pPr>
      <w:r>
        <w:t xml:space="preserve">Chambre 13,56 m2,Couloir 3,46m2,Cuisine 7,59 m2,Hall d'entrée 4,42m,Salon 16,66 m2,Salle d'eau 2,16m2,WC 1,49 m2.DPE:Consommation énergétique en énergie primaire 196,00 KWHep/m²an  D,Emission de gaz à effet de serre 39,00Kgco2/m²anD.</w:t>
      </w:r>
    </w:p>
    <w:p>
      <w:pPr>
        <w:pStyle w:val="Type de détail"/>
        <w:numPr>
          <w:ilvl w:val="0"/>
          <w:numId w:val="0"/>
        </w:numPr>
        <w:ind w:left="0" w:firstLine="0"/>
      </w:pPr>
      <w:r>
        <w:t xml:space="preserve">Chauffage:CC Gaz Individuel.Equipements de Cuisine:Hotte aspirante.</w:t>
      </w:r>
    </w:p>
    <w:p>
      <w:pPr>
        <w:pStyle w:val="Type de détail"/>
        <w:numPr>
          <w:ilvl w:val="0"/>
          <w:numId w:val="0"/>
        </w:numPr>
        <w:ind w:left="0" w:firstLine="0"/>
      </w:pPr>
      <w:r>
        <w:t xml:space="preserve">Equipements divers:Tout à l'égout.Equipements Electrique:Câble TV</w:t>
      </w:r>
    </w:p>
    <w:p>
      <w:pPr>
        <w:pStyle w:val="Type de détail"/>
        <w:numPr>
          <w:ilvl w:val="0"/>
          <w:numId w:val="0"/>
        </w:numPr>
        <w:ind w:left="0" w:firstLine="0"/>
      </w:pPr>
      <w:r>
        <w:t xml:space="preserve">Fenêtres:Bois,Double vitrage.Immeuble:RDC_C PORTE 5.Infos sur location:</w:t>
      </w:r>
    </w:p>
    <w:p>
      <w:pPr>
        <w:pStyle w:val="Détail"/>
        <w:numPr>
          <w:ilvl w:val="0"/>
          <w:numId w:val="0"/>
        </w:numPr>
        <w:ind w:left="0" w:firstLine="0"/>
      </w:pPr>
      <w:r>
        <w:t xml:space="preserve">Loyer mensuel hors charges 450,00 €,Complément de loyer mensuel 150,00 €.</w:t>
      </w:r>
    </w:p>
    <w:p>
      <w:pPr>
        <w:pStyle w:val="Type de détail"/>
        <w:numPr>
          <w:ilvl w:val="0"/>
          <w:numId w:val="0"/>
        </w:numPr>
        <w:ind w:left="0" w:firstLine="0"/>
      </w:pPr>
      <w:r>
        <w:t xml:space="preserve">Pièces diverses:Parking.Services:Aéroport,Autoroute,Commerces,Ecole</w:t>
      </w:r>
    </w:p>
    <w:p>
      <w:pPr>
        <w:pStyle w:val="Détail"/>
        <w:numPr>
          <w:ilvl w:val="0"/>
          <w:numId w:val="0"/>
        </w:numPr>
        <w:ind w:left="0" w:firstLine="0"/>
      </w:pPr>
      <w:r>
        <w:t xml:space="preserve">Gare,Hôpital,Internet / ADSL.Vue:Vue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w:t>
      </w:r>
      <w:r>
        <w:rPr>
          <w:b w:val="on"/>
          <w:sz w:val="24"/>
        </w:rPr>
        <w:t xml:space="preserve"> 75 000 €</w:t>
      </w:r>
      <w:r>
        <w:rPr>
          <w:sz w:val="24"/>
        </w:rPr>
        <w:t xml:space="preserve"> (</w:t>
      </w:r>
      <w:r>
        <w:rPr>
          <w:b w:val="on"/>
          <w:sz w:val="24"/>
        </w:rPr>
        <w:t xml:space="preserve">SOIXANTE QUINZE MILLE EUROS</w:t>
      </w:r>
      <w:r>
        <w:rPr>
          <w:sz w:val="24"/>
        </w:rPr>
        <w:t xml:space="preserve">) et </w:t>
      </w:r>
      <w:r>
        <w:rPr>
          <w:b w:val="on"/>
          <w:sz w:val="24"/>
        </w:rPr>
        <w:t xml:space="preserve"> 77 000€</w:t>
      </w:r>
      <w:r>
        <w:rPr>
          <w:sz w:val="24"/>
        </w:rPr>
        <w:t xml:space="preserve"> (</w:t>
      </w:r>
      <w:r>
        <w:rPr>
          <w:b w:val="on"/>
          <w:sz w:val="24"/>
        </w:rPr>
        <w:t xml:space="preserve">SOIXANTE DIX SEPT MILLE EUROS</w:t>
      </w:r>
      <w:r>
        <w:rPr>
          <w:sz w:val="24"/>
        </w:rPr>
        <w:t xml:space="preserve">). Cette évaluation a été donnée sur la base de l'état des prestations du bien, de sa situation, du marché immobilier et des transactions réalisées à ce jour sur ce secteur.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28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