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9429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942975"/>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atteste par la présente avoir visité le 08 octobre 2024, un Appartement sis 63 Boulevard Gambetta  46000 CAHORS appartenant à Mme Rigal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color w:val="000000"/>
        </w:rPr>
      </w:pPr>
      <w:r>
        <w:rPr>
          <w:b w:val="on"/>
          <w:color w:val="000000"/>
        </w:rPr>
        <w:t xml:space="preserve">SUR UNE PARCELLE CADASTREE CE 005 POUR 318M²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Au premier étage d'un immeuble trés central sur le boulevard Gambetta.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Appartement de 118 m² de surface habitable offrant 3 chambres et pièces à vivre avec Une vaste terrasse donnant sur le boulevard.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central au gaz de vile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Electricité défectueuse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Double vitrage partiel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Une cave et un grenier complètent l'ensemble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L'ensemble est à rafraichir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Assainissement collectif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rPr>
      </w:pPr>
      <w:r>
        <w:rPr>
          <w:b w:val="on"/>
          <w:color w:val="000000"/>
        </w:rPr>
        <w:t xml:space="preserve">COPROPRIETE : Charges mensuelles 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u w:val="single"/>
        </w:rPr>
        <w:t xml:space="preserve">Lots de copropriété :</w:t>
      </w:r>
      <w:r>
        <w:rPr>
          <w:b w:val="on"/>
          <w:sz w:val="24"/>
        </w:rPr>
        <w:t xml:space="preserve"> N°3 : appartement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N°6/7/8 : locaux autres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 PV d'assemblée générale de la copropriété en date du 03.10.2024 ne revèle aucune inscription en terme de frais exceptionnels à réaliser. La détermination du montant de la cotisation obligatoire du fond de travaux pour l'exercice à venir précise l'absence d'adoption d'un plan pluriannuel de travaux.</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3 Chambres 10,24/15,46/10,40m²</w:t>
      </w:r>
    </w:p>
    <w:p>
      <w:pPr>
        <w:pStyle w:val="Détail"/>
        <w:numPr>
          <w:ilvl w:val="0"/>
          <w:numId w:val="4"/>
        </w:numPr>
        <w:rPr>
          <w:sz w:val="20"/>
        </w:rPr>
      </w:pPr>
      <w:r>
        <w:rPr>
          <w:sz w:val="20"/>
        </w:rPr>
        <w:t xml:space="preserve">Couloir 11,80m²</w:t>
      </w:r>
    </w:p>
    <w:p>
      <w:pPr>
        <w:pStyle w:val="Détail"/>
        <w:numPr>
          <w:ilvl w:val="0"/>
          <w:numId w:val="4"/>
        </w:numPr>
        <w:rPr>
          <w:sz w:val="20"/>
        </w:rPr>
      </w:pPr>
      <w:r>
        <w:rPr>
          <w:sz w:val="20"/>
        </w:rPr>
        <w:t xml:space="preserve">Cuisine 10,53m²</w:t>
      </w:r>
    </w:p>
    <w:p>
      <w:pPr>
        <w:pStyle w:val="Détail"/>
        <w:numPr>
          <w:ilvl w:val="0"/>
          <w:numId w:val="4"/>
        </w:numPr>
        <w:rPr>
          <w:sz w:val="20"/>
        </w:rPr>
      </w:pPr>
      <w:r>
        <w:rPr>
          <w:sz w:val="20"/>
        </w:rPr>
        <w:t xml:space="preserve">Salle à manger 23,90m²</w:t>
      </w:r>
    </w:p>
    <w:p>
      <w:pPr>
        <w:pStyle w:val="Détail"/>
        <w:numPr>
          <w:ilvl w:val="0"/>
          <w:numId w:val="4"/>
        </w:numPr>
        <w:rPr>
          <w:sz w:val="20"/>
        </w:rPr>
      </w:pPr>
      <w:r>
        <w:rPr>
          <w:sz w:val="20"/>
        </w:rPr>
        <w:t xml:space="preserve">Salle de bains complète 8,00m²</w:t>
      </w:r>
    </w:p>
    <w:p>
      <w:pPr>
        <w:pStyle w:val="Détail"/>
        <w:numPr>
          <w:ilvl w:val="0"/>
          <w:numId w:val="4"/>
        </w:numPr>
        <w:rPr>
          <w:sz w:val="20"/>
        </w:rPr>
      </w:pPr>
      <w:r>
        <w:rPr>
          <w:sz w:val="20"/>
        </w:rPr>
        <w:t xml:space="preserve">Salon 26,65m²</w:t>
      </w:r>
    </w:p>
    <w:p>
      <w:pPr>
        <w:pStyle w:val="Détail"/>
        <w:numPr>
          <w:ilvl w:val="0"/>
          <w:numId w:val="4"/>
        </w:numPr>
        <w:rPr>
          <w:sz w:val="20"/>
        </w:rPr>
      </w:pPr>
      <w:r>
        <w:rPr>
          <w:sz w:val="20"/>
        </w:rPr>
        <w:t xml:space="preserve">Terrasse 120m²</w:t>
      </w:r>
    </w:p>
    <w:p>
      <w:pPr>
        <w:pStyle w:val="Détail"/>
        <w:numPr>
          <w:ilvl w:val="0"/>
          <w:numId w:val="4"/>
        </w:numPr>
        <w:rPr>
          <w:sz w:val="20"/>
        </w:rPr>
      </w:pPr>
      <w:r>
        <w:rPr>
          <w:sz w:val="20"/>
        </w:rPr>
        <w:t xml:space="preserve">WC 1,40m²</w:t>
      </w:r>
    </w:p>
    <w:p>
      <w:pPr>
        <w:pStyle w:val="Type de détail"/>
        <w:numPr>
          <w:ilvl w:val="0"/>
          <w:numId w:val="3"/>
        </w:numPr>
        <w:rPr>
          <w:sz w:val="20"/>
        </w:rPr>
      </w:pPr>
      <w:r>
        <w:rPr>
          <w:sz w:val="20"/>
        </w:rPr>
        <w:t xml:space="preserve">4ème étage:</w:t>
      </w:r>
    </w:p>
    <w:p>
      <w:pPr>
        <w:pStyle w:val="Détail"/>
        <w:numPr>
          <w:ilvl w:val="0"/>
          <w:numId w:val="4"/>
        </w:numPr>
        <w:rPr>
          <w:sz w:val="20"/>
        </w:rPr>
      </w:pPr>
      <w:r>
        <w:rPr>
          <w:sz w:val="20"/>
        </w:rPr>
        <w:t xml:space="preserve">Grenier non visité</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u w:val="single"/>
        </w:rPr>
        <w:t xml:space="preserve"> non fourni</w:t>
      </w:r>
    </w:p>
    <w:p>
      <w:pPr>
        <w:pStyle w:val="Détail"/>
        <w:numPr>
          <w:ilvl w:val="0"/>
          <w:numId w:val="4"/>
        </w:numPr>
        <w:rPr>
          <w:sz w:val="20"/>
        </w:rPr>
      </w:pPr>
      <w:r>
        <w:rPr>
          <w:sz w:val="20"/>
        </w:rPr>
        <w:t xml:space="preserve">Emission de gaz à effet de serre :</w:t>
      </w:r>
      <w:r>
        <w:rPr>
          <w:b w:val="on"/>
          <w:sz w:val="20"/>
          <w:u w:val="single"/>
        </w:rPr>
        <w:t xml:space="preserve"> 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Gaz</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Bois 2 chambres et cuisine en double vitrage</w:t>
      </w:r>
    </w:p>
    <w:p>
      <w:pPr>
        <w:pStyle w:val="Type de détail"/>
        <w:numPr>
          <w:ilvl w:val="0"/>
          <w:numId w:val="3"/>
        </w:numPr>
        <w:rPr>
          <w:sz w:val="20"/>
        </w:rPr>
      </w:pPr>
      <w:r>
        <w:rPr>
          <w:sz w:val="20"/>
        </w:rPr>
        <w:t xml:space="preserve">Sous Sol:</w:t>
      </w:r>
    </w:p>
    <w:p>
      <w:pPr>
        <w:pStyle w:val="Détail"/>
        <w:numPr>
          <w:ilvl w:val="0"/>
          <w:numId w:val="4"/>
        </w:numPr>
        <w:rPr>
          <w:sz w:val="20"/>
        </w:rPr>
      </w:pPr>
      <w:r>
        <w:rPr>
          <w:sz w:val="20"/>
        </w:rPr>
        <w:t xml:space="preserve">Cave non visitée</w:t>
      </w:r>
    </w:p>
    <w:p>
      <w:pPr>
        <w:pStyle w:val="Détail"/>
        <w:numPr>
          <w:ilvl w:val="0"/>
          <w:numId w:val="3"/>
        </w:numPr>
        <w:rPr>
          <w:b w:val="on"/>
          <w:sz w:val="16"/>
        </w:rPr>
      </w:pPr>
      <w:r>
        <w:rPr>
          <w:b w:val="on"/>
          <w:sz w:val="20"/>
        </w:rPr>
        <w:t xml:space="preserve">Electricité: </w:t>
      </w:r>
    </w:p>
    <w:p>
      <w:pPr>
        <w:pStyle w:val="Détail"/>
        <w:numPr>
          <w:ilvl w:val="0"/>
          <w:numId w:val="4"/>
        </w:numPr>
      </w:pPr>
      <w:r>
        <w:rPr>
          <w:sz w:val="20"/>
        </w:rPr>
        <w:t xml:space="preserve">tableau électrique non trouvé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165200 €</w:t>
      </w:r>
      <w:r>
        <w:rPr>
          <w:sz w:val="24"/>
        </w:rPr>
        <w:t xml:space="preserve"> (</w:t>
      </w:r>
      <w:r>
        <w:rPr>
          <w:b w:val="on"/>
          <w:sz w:val="24"/>
        </w:rPr>
        <w:t xml:space="preserve">CENT SOIXANTE CINQ MILLE DEUX  CENT EUROS</w:t>
      </w:r>
      <w:r>
        <w:rPr>
          <w:sz w:val="24"/>
        </w:rPr>
        <w:t xml:space="preserve">) et </w:t>
      </w:r>
      <w:r>
        <w:rPr>
          <w:b w:val="on"/>
          <w:sz w:val="24"/>
        </w:rPr>
        <w:t xml:space="preserve"> 177000€</w:t>
      </w:r>
      <w:r>
        <w:rPr>
          <w:sz w:val="24"/>
        </w:rPr>
        <w:t xml:space="preserve"> (</w:t>
      </w:r>
      <w:r>
        <w:rPr>
          <w:b w:val="on"/>
          <w:sz w:val="24"/>
        </w:rPr>
        <w:t xml:space="preserve">CENT SOIXANTE DIX SEPT  MILLE  EUROS</w:t>
      </w:r>
      <w:r>
        <w:rPr>
          <w:sz w:val="24"/>
        </w:rPr>
        <w:t xml:space="preserve">) </w:t>
      </w:r>
      <w:r>
        <w:rPr>
          <w:b w:val="on"/>
          <w:sz w:val="24"/>
        </w:rPr>
        <w:t xml:space="preserve">soit entre 1400 et 1500€/m² habitable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plomb,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13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16"/>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16"/>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