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CA6940-1-1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m².Chauffage central à granulés (chaudière 2019), DPE en D.Double vitrage.Fosse septiqueconforme (2020). La maison principale comprend une superbe terrasse avec vue surlacampagne, une entrée, une véranda, un vaste séjour lumineux (incluant la cuisine ouverte), un cellier, une salle de bain, un w.c., une salle d'eau, 3 chambres (2 en rez-de-jardin, 1 au1er étage), une terrasse, et au niveau inférieur, un grand garage, 2 caves voutées, deux grands ateliers. La dépendance sur deux niveaux offre 3 chambres, une salle d'eau, un W.C., un petit bureau indépendant.Vous serez séduit par cette rénovation atypique, alliant l'authenticité, le confort, le plaisir de vivre dans de grands volumes lumineux.Grand séjour (environ 95m²) .La vue est belle, le calme présent, les premières commodités à 5 mn, le centre ville de Cahors à 25 mn. A 15 mn de 2 bourgs "tous commerces".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273 600 €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5,64% soit 259 000 €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Consommation énergétique en énergie primaire</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6,00 Kgco2/m²an B</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 chaudière 2019</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 posées en 2015</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