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4"/>
        </w:rPr>
      </w:pPr>
      <w:r>
        <w:rPr>
          <w:sz w:val="24"/>
        </w:rPr>
        <w:t xml:space="preserve">Je soussigné(e), Marcel CAR, Gérant de la Sarl Quercy Transactions, 3, place Jean-Jacques Chapou, 46000 CAHORS (Lot), atteste par la présente avoir visité le 20 septembre 2024, un local sis zone artisanale de meymes 46220 PRAYSSAC appartenant à St SCI L'ALU MIGNON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Prayssac zone industrielle. Locaux en parfait état d'environ 314 m² de surface utilisable. Rez de chaussée : Atelier avec mezzanine, salle d'exposition, vestiaire (wc). Etage : bureau, réserve, salle de détente ; coin perso, wc . Chauffage : climatisation réversible à l'étage. Tout à l'égout. Surface Utilisable environ : 314 m²Parcelle E  n° 2980-2981-     742 m² - Les informations sur les risques auxquels ce bien est exposé sont disponibles sur le site Géorisques </w:t>
      </w:r>
      <w:r>
        <w:rPr>
          <w:color w:val="0000FF"/>
          <w:sz w:val="24"/>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 Commerce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w:t>
      </w:r>
      <w:r>
        <w:rPr>
          <w:sz w:val="24"/>
        </w:rPr>
        <w:t xml:space="preserve">Zone industrielle </w:t>
      </w:r>
      <w:r>
        <w:rPr>
          <w:b w:val="on"/>
          <w:sz w:val="24"/>
        </w:rPr>
        <w:t xml:space="preserve">Rez de chaussée:</w:t>
      </w:r>
      <w:r>
        <w:rPr>
          <w:sz w:val="24"/>
        </w:rPr>
        <w:t xml:space="preserve"> Commerce 187 m² avec mezzanine Hall d'entrée (exposition) 56,23 m² Vestiaire 10,29m² </w:t>
      </w:r>
      <w:r>
        <w:rPr>
          <w:b w:val="on"/>
          <w:sz w:val="24"/>
        </w:rPr>
        <w:t xml:space="preserve">1er étage:</w:t>
      </w:r>
      <w:r>
        <w:rPr>
          <w:sz w:val="24"/>
        </w:rPr>
        <w:t xml:space="preserve">Bureau 35,63 m² + reserve 7,50 m²Pièce détente 14,95 m² </w:t>
      </w:r>
      <w:r>
        <w:rPr>
          <w:b w:val="on"/>
          <w:sz w:val="24"/>
        </w:rPr>
        <w:t xml:space="preserve">Chauffage:</w:t>
      </w:r>
      <w:r>
        <w:rPr>
          <w:sz w:val="24"/>
        </w:rPr>
        <w:t xml:space="preserve">Climatisation réversible à l'étage </w:t>
      </w:r>
      <w:r>
        <w:rPr>
          <w:b w:val="on"/>
          <w:sz w:val="24"/>
        </w:rPr>
        <w:t xml:space="preserve">Equipements divers</w:t>
      </w:r>
      <w:r>
        <w:rPr>
          <w:sz w:val="24"/>
        </w:rPr>
        <w:t xml:space="preserve">: Tout à l'égout </w:t>
      </w:r>
      <w:r>
        <w:rPr>
          <w:b w:val="on"/>
          <w:sz w:val="24"/>
        </w:rPr>
        <w:t xml:space="preserve">Fenêtres</w:t>
      </w:r>
      <w:r>
        <w:rPr>
          <w:sz w:val="24"/>
        </w:rPr>
        <w:t xml:space="preserve">:Aluminium Double vitrage </w:t>
      </w:r>
      <w:r>
        <w:rPr>
          <w:b w:val="on"/>
          <w:sz w:val="24"/>
        </w:rPr>
        <w:t xml:space="preserve">Toiture:</w:t>
      </w:r>
      <w:r>
        <w:rPr>
          <w:sz w:val="24"/>
        </w:rPr>
        <w:t xml:space="preserve"> Tôle ondulée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170 000 €</w:t>
      </w:r>
      <w:r>
        <w:rPr>
          <w:sz w:val="24"/>
        </w:rPr>
        <w:t xml:space="preserve"> (</w:t>
      </w:r>
      <w:r>
        <w:rPr>
          <w:b w:val="on"/>
          <w:sz w:val="24"/>
        </w:rPr>
        <w:t xml:space="preserve">CENT SOIXANTE-DIX MILLE EUROS</w:t>
      </w:r>
      <w:r>
        <w:rPr>
          <w:sz w:val="24"/>
        </w:rPr>
        <w:t xml:space="preserve">) et </w:t>
      </w:r>
      <w:r>
        <w:rPr>
          <w:b w:val="on"/>
          <w:sz w:val="24"/>
        </w:rPr>
        <w:t xml:space="preserve">200.000 €</w:t>
      </w:r>
      <w:r>
        <w:rPr>
          <w:sz w:val="24"/>
        </w:rPr>
        <w:t xml:space="preserve"> (</w:t>
      </w:r>
      <w:r>
        <w:rPr>
          <w:b w:val="on"/>
          <w:sz w:val="24"/>
        </w:rPr>
        <w:t xml:space="preserve">DEUX CENT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