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23/05/2024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37 route de cap de lascamp 46090 LAMAGDELAINE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Mr Watremetz Yvon</w:t>
            </w:r>
          </w:p>
          <w:p>
            <w:pPr>
              <w:pStyle w:val="[Normal]"/>
              <w:jc w:val="center"/>
            </w:pPr>
            <w:r>
              <w:t xml:space="preserve">2, chemin Loubine </w:t>
            </w:r>
          </w:p>
          <w:p>
            <w:pPr>
              <w:pStyle w:val="[Normal]"/>
              <w:jc w:val="center"/>
            </w:pPr>
            <w:r>
              <w:t xml:space="preserve">31190 MIREMONT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180 000 € (CENT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12 600 € (DOUZE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</w:t>
      </w:r>
      <w:r>
        <w:t xml:space="preserve">25 septembre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