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Alexia , agent commercial immobilier de la Sarl Quercy Transactions, 3, place Jean-Jacques Chapou, 46000 CAHORS (Lot), atteste par la présente avoir visité le 24 septembre 2024, une Maison Ancienne sis 622 chemin de Peyrolis 46000 CAHORS appartenant à Mme Bessieres Suzette</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r>
        <w:rPr>
          <w:color w:val="000000"/>
        </w:rPr>
        <w:t xml:space="preserve">Cahors proche du centre-ville maison en pierre d'environ 180 m² de surface habitable sur un terrain d'environ 13.554 m² en partie en pente. Rez de chaussée : entrée, séjour, cuisine, salle d'eau/ wc, chambre, véranda. Terrasse. Etage : palier, chambre, 3 pièces en enfilades. Tout à l'égout. Chauffage central gaz, climatisation réversible. Fenêtre pvc double vitrage. Dépendance: double garage.</w:t>
      </w: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180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n°40 DV    13 554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8"/>
        </w:rPr>
      </w:pPr>
      <w:r>
        <w:rPr>
          <w:b w:val="on"/>
          <w:sz w:val="24"/>
          <w:u w:val="single"/>
        </w:rPr>
        <w:t xml:space="preserve">Rez de Jardin:</w:t>
      </w:r>
    </w:p>
    <w:p>
      <w:pPr>
        <w:pStyle w:val="Détail"/>
        <w:numPr>
          <w:ilvl w:val="0"/>
          <w:numId w:val="3"/>
        </w:numPr>
      </w:pPr>
      <w:r>
        <w:t xml:space="preserve">Cave</w:t>
      </w:r>
    </w:p>
    <w:p>
      <w:pPr>
        <w:pStyle w:val="Détail"/>
        <w:numPr>
          <w:ilvl w:val="0"/>
          <w:numId w:val="0"/>
        </w:numPr>
        <w:tabs>
          <w:tab w:val="left" w:pos="15876"/>
          <w:tab w:val="clear" w:pos="360"/>
        </w:tabs>
        <w:ind w:left="0" w:firstLine="0"/>
        <w:rPr>
          <w:b w:val="on"/>
          <w:sz w:val="28"/>
        </w:rPr>
      </w:pPr>
      <w:r>
        <w:rPr>
          <w:b w:val="on"/>
          <w:u w:val="single"/>
        </w:rPr>
        <w:t xml:space="preserve">Rez de chaussée:</w:t>
      </w:r>
    </w:p>
    <w:p>
      <w:pPr>
        <w:pStyle w:val="Détail"/>
        <w:numPr>
          <w:ilvl w:val="0"/>
          <w:numId w:val="3"/>
        </w:numPr>
      </w:pPr>
      <w:r>
        <w:t xml:space="preserve">Arrière-cuisine 12 m²</w:t>
      </w:r>
    </w:p>
    <w:p>
      <w:pPr>
        <w:pStyle w:val="Détail"/>
        <w:numPr>
          <w:ilvl w:val="0"/>
          <w:numId w:val="3"/>
        </w:numPr>
      </w:pPr>
      <w:r>
        <w:t xml:space="preserve">Chambre 18,30m²</w:t>
      </w:r>
    </w:p>
    <w:p>
      <w:pPr>
        <w:pStyle w:val="Détail"/>
        <w:numPr>
          <w:ilvl w:val="0"/>
          <w:numId w:val="3"/>
        </w:numPr>
      </w:pPr>
      <w:r>
        <w:t xml:space="preserve">Cuisine 10 m²</w:t>
      </w:r>
    </w:p>
    <w:p>
      <w:pPr>
        <w:pStyle w:val="Détail"/>
        <w:numPr>
          <w:ilvl w:val="0"/>
          <w:numId w:val="3"/>
        </w:numPr>
      </w:pPr>
      <w:r>
        <w:t xml:space="preserve">Hall d'entrée 14 m²</w:t>
      </w:r>
    </w:p>
    <w:p>
      <w:pPr>
        <w:pStyle w:val="Détail"/>
        <w:numPr>
          <w:ilvl w:val="0"/>
          <w:numId w:val="3"/>
        </w:numPr>
      </w:pPr>
      <w:r>
        <w:t xml:space="preserve">Pièce à vivre 35,80 m²</w:t>
      </w:r>
    </w:p>
    <w:p>
      <w:pPr>
        <w:pStyle w:val="Détail"/>
        <w:numPr>
          <w:ilvl w:val="0"/>
          <w:numId w:val="3"/>
        </w:numPr>
      </w:pPr>
      <w:r>
        <w:t xml:space="preserve">Salle d'eau 6,92 m² wc</w:t>
      </w:r>
    </w:p>
    <w:p>
      <w:pPr>
        <w:pStyle w:val="Détail"/>
        <w:numPr>
          <w:ilvl w:val="0"/>
          <w:numId w:val="3"/>
        </w:numPr>
      </w:pPr>
      <w:r>
        <w:t xml:space="preserve">Terrasse 30 m²</w:t>
      </w:r>
    </w:p>
    <w:p>
      <w:pPr>
        <w:pStyle w:val="Détail"/>
        <w:numPr>
          <w:ilvl w:val="0"/>
          <w:numId w:val="3"/>
        </w:numPr>
      </w:pPr>
      <w:r>
        <w:t xml:space="preserve">Veranda non attenante 16,65 m²</w:t>
      </w:r>
    </w:p>
    <w:p>
      <w:pPr>
        <w:pStyle w:val="Type de détail"/>
        <w:numPr>
          <w:ilvl w:val="0"/>
          <w:numId w:val="0"/>
        </w:numPr>
        <w:tabs>
          <w:tab w:val="left" w:pos="15876"/>
          <w:tab w:val="clear" w:pos="360"/>
        </w:tabs>
        <w:ind w:left="0" w:firstLine="0"/>
      </w:pPr>
      <w:r>
        <w:rPr>
          <w:sz w:val="24"/>
          <w:u w:val="single"/>
        </w:rPr>
        <w:t xml:space="preserve">1er étage:</w:t>
      </w:r>
    </w:p>
    <w:p>
      <w:pPr>
        <w:pStyle w:val="Détail"/>
        <w:numPr>
          <w:ilvl w:val="0"/>
          <w:numId w:val="3"/>
        </w:numPr>
      </w:pPr>
      <w:r>
        <w:t xml:space="preserve">Chambre 17,88 m²</w:t>
      </w:r>
    </w:p>
    <w:p>
      <w:pPr>
        <w:pStyle w:val="Détail"/>
        <w:numPr>
          <w:ilvl w:val="0"/>
          <w:numId w:val="3"/>
        </w:numPr>
      </w:pPr>
      <w:r>
        <w:t xml:space="preserve">Palier 7,75 m²</w:t>
      </w:r>
    </w:p>
    <w:p>
      <w:pPr>
        <w:pStyle w:val="Détail"/>
        <w:numPr>
          <w:ilvl w:val="0"/>
          <w:numId w:val="3"/>
        </w:numPr>
      </w:pPr>
      <w:r>
        <w:t xml:space="preserve">3 Pièces en enfilade :16/18/20 m² , toiture rampante , mesurage de mur à mur</w:t>
      </w:r>
    </w:p>
    <w:p>
      <w:pPr>
        <w:pStyle w:val="Détail"/>
        <w:numPr>
          <w:ilvl w:val="0"/>
          <w:numId w:val="3"/>
        </w:numPr>
        <w:rPr>
          <w:u w:val="single"/>
        </w:rPr>
      </w:pPr>
      <w:r>
        <w:rPr>
          <w:u w:val="single"/>
        </w:rPr>
        <w:t xml:space="preserve">WC</w:t>
      </w:r>
    </w:p>
    <w:p>
      <w:pPr>
        <w:pStyle w:val="Type de détail"/>
        <w:numPr>
          <w:ilvl w:val="0"/>
          <w:numId w:val="4"/>
        </w:numPr>
      </w:pPr>
      <w:r>
        <w:rPr>
          <w:sz w:val="24"/>
          <w:u w:val="single"/>
        </w:rPr>
        <w:t xml:space="preserve">Dépendances:</w:t>
      </w:r>
    </w:p>
    <w:p>
      <w:pPr>
        <w:pStyle w:val="Détail"/>
        <w:numPr>
          <w:ilvl w:val="0"/>
          <w:numId w:val="3"/>
        </w:numPr>
      </w:pPr>
      <w:r>
        <w:t xml:space="preserve">Garage double garage 60m²</w:t>
      </w:r>
    </w:p>
    <w:p>
      <w:pPr>
        <w:pStyle w:val="Type de détail"/>
        <w:numPr>
          <w:ilvl w:val="0"/>
          <w:numId w:val="4"/>
        </w:numPr>
      </w:pPr>
      <w:r>
        <w:rPr>
          <w:sz w:val="24"/>
          <w:u w:val="single"/>
        </w:rPr>
        <w:t xml:space="preserve">DPE:</w:t>
      </w:r>
    </w:p>
    <w:p>
      <w:pPr>
        <w:pStyle w:val="Détail"/>
        <w:numPr>
          <w:ilvl w:val="0"/>
          <w:numId w:val="3"/>
        </w:numPr>
      </w:pPr>
      <w:r>
        <w:t xml:space="preserve">Consommation énergétique en énergie primaire 213,00 KWHep/m²an D</w:t>
      </w:r>
    </w:p>
    <w:p>
      <w:pPr>
        <w:pStyle w:val="Détail"/>
        <w:numPr>
          <w:ilvl w:val="0"/>
          <w:numId w:val="3"/>
        </w:numPr>
      </w:pPr>
      <w:r>
        <w:t xml:space="preserve">Emission de gaz à effet de serre 36,00 Kgco2/m²an D</w:t>
      </w:r>
    </w:p>
    <w:p>
      <w:pPr>
        <w:pStyle w:val="Détail"/>
        <w:numPr>
          <w:ilvl w:val="0"/>
          <w:numId w:val="3"/>
        </w:numPr>
      </w:pPr>
      <w:r>
        <w:t xml:space="preserve">Date de réalisation DPE 02/03/2023</w:t>
      </w:r>
    </w:p>
    <w:p>
      <w:pPr>
        <w:pStyle w:val="Détail"/>
        <w:numPr>
          <w:ilvl w:val="0"/>
          <w:numId w:val="3"/>
        </w:numPr>
      </w:pPr>
      <w:r>
        <w:t xml:space="preserve">Montant bas supposé et théorique des dépenses énergétiques 2 062,00 €</w:t>
      </w:r>
    </w:p>
    <w:p>
      <w:pPr>
        <w:pStyle w:val="Détail"/>
        <w:numPr>
          <w:ilvl w:val="0"/>
          <w:numId w:val="3"/>
        </w:numPr>
      </w:pPr>
      <w:r>
        <w:t xml:space="preserve">Montant haut supposé et théorique des dépenses énergétiques 2 790,00 €</w:t>
      </w:r>
    </w:p>
    <w:p>
      <w:pPr>
        <w:pStyle w:val="Type de détail"/>
        <w:numPr>
          <w:ilvl w:val="0"/>
          <w:numId w:val="4"/>
        </w:numPr>
      </w:pPr>
      <w:r>
        <w:rPr>
          <w:sz w:val="24"/>
          <w:u w:val="single"/>
        </w:rPr>
        <w:t xml:space="preserve">Chauffage:</w:t>
      </w:r>
    </w:p>
    <w:p>
      <w:pPr>
        <w:pStyle w:val="Détail"/>
        <w:numPr>
          <w:ilvl w:val="0"/>
          <w:numId w:val="3"/>
        </w:numPr>
      </w:pPr>
      <w:r>
        <w:t xml:space="preserve">CC Gaz</w:t>
      </w:r>
    </w:p>
    <w:p>
      <w:pPr>
        <w:pStyle w:val="Détail"/>
        <w:numPr>
          <w:ilvl w:val="0"/>
          <w:numId w:val="3"/>
        </w:numPr>
      </w:pPr>
      <w:r>
        <w:t xml:space="preserve">Climatisation réversible</w:t>
      </w:r>
    </w:p>
    <w:p>
      <w:pPr>
        <w:pStyle w:val="Type de détail"/>
        <w:numPr>
          <w:ilvl w:val="0"/>
          <w:numId w:val="4"/>
        </w:numPr>
      </w:pPr>
      <w:r>
        <w:rPr>
          <w:sz w:val="24"/>
          <w:u w:val="single"/>
        </w:rPr>
        <w:t xml:space="preserve">Equipements de Cuisine:</w:t>
      </w:r>
    </w:p>
    <w:p>
      <w:pPr>
        <w:pStyle w:val="Détail"/>
        <w:numPr>
          <w:ilvl w:val="0"/>
          <w:numId w:val="3"/>
        </w:numPr>
      </w:pPr>
      <w:r>
        <w:t xml:space="preserve">2 Cuisinières vitrocéramique une 4 feux / une deux feux</w:t>
      </w:r>
    </w:p>
    <w:p>
      <w:pPr>
        <w:pStyle w:val="Détail"/>
        <w:numPr>
          <w:ilvl w:val="0"/>
          <w:numId w:val="3"/>
        </w:numPr>
      </w:pPr>
      <w:r>
        <w:t xml:space="preserve">Four</w:t>
      </w:r>
    </w:p>
    <w:p>
      <w:pPr>
        <w:pStyle w:val="Détail"/>
        <w:numPr>
          <w:ilvl w:val="0"/>
          <w:numId w:val="3"/>
        </w:numPr>
      </w:pPr>
      <w:r>
        <w:t xml:space="preserve">Hotte aspirante</w:t>
      </w:r>
    </w:p>
    <w:p>
      <w:pPr>
        <w:pStyle w:val="Type de détail"/>
        <w:numPr>
          <w:ilvl w:val="0"/>
          <w:numId w:val="4"/>
        </w:numPr>
      </w:pPr>
      <w:r>
        <w:rPr>
          <w:sz w:val="24"/>
          <w:u w:val="single"/>
        </w:rPr>
        <w:t xml:space="preserve">Equipements divers:</w:t>
      </w:r>
    </w:p>
    <w:p>
      <w:pPr>
        <w:pStyle w:val="Détail"/>
        <w:numPr>
          <w:ilvl w:val="0"/>
          <w:numId w:val="3"/>
        </w:numPr>
      </w:pPr>
      <w:r>
        <w:t xml:space="preserve">Tout à l'égout</w:t>
      </w:r>
    </w:p>
    <w:p>
      <w:pPr>
        <w:pStyle w:val="Détail"/>
        <w:numPr>
          <w:ilvl w:val="0"/>
          <w:numId w:val="3"/>
        </w:numPr>
      </w:pPr>
      <w:r>
        <w:t xml:space="preserve">Gaz de ville</w:t>
      </w:r>
    </w:p>
    <w:p>
      <w:pPr>
        <w:pStyle w:val="Type de détail"/>
        <w:numPr>
          <w:ilvl w:val="0"/>
          <w:numId w:val="4"/>
        </w:numPr>
      </w:pPr>
      <w:r>
        <w:rPr>
          <w:sz w:val="24"/>
          <w:u w:val="single"/>
        </w:rPr>
        <w:t xml:space="preserve">Fenêtres:</w:t>
      </w:r>
    </w:p>
    <w:p>
      <w:pPr>
        <w:pStyle w:val="Détail"/>
        <w:numPr>
          <w:ilvl w:val="0"/>
          <w:numId w:val="3"/>
        </w:numPr>
      </w:pPr>
      <w:r>
        <w:t xml:space="preserve">Double vitrage</w:t>
      </w:r>
    </w:p>
    <w:p>
      <w:pPr>
        <w:pStyle w:val="Détail"/>
        <w:numPr>
          <w:ilvl w:val="0"/>
          <w:numId w:val="3"/>
        </w:numPr>
      </w:pPr>
      <w:r>
        <w:t xml:space="preserve">PVC</w:t>
      </w:r>
    </w:p>
    <w:p>
      <w:pPr>
        <w:pStyle w:val="Détail"/>
        <w:numPr>
          <w:ilvl w:val="0"/>
          <w:numId w:val="4"/>
        </w:numPr>
        <w:rPr>
          <w:b w:val="on"/>
          <w:sz w:val="28"/>
        </w:rPr>
      </w:pPr>
      <w:r>
        <w:rPr>
          <w:b w:val="on"/>
          <w:u w:val="single"/>
        </w:rPr>
        <w:t xml:space="preserve">Services:</w:t>
      </w:r>
    </w:p>
    <w:p>
      <w:pPr>
        <w:pStyle w:val="Détail"/>
        <w:numPr>
          <w:ilvl w:val="0"/>
          <w:numId w:val="3"/>
        </w:numPr>
      </w:pPr>
      <w:r>
        <w:t xml:space="preserve">Aéroport toulouse 1h30</w:t>
      </w:r>
    </w:p>
    <w:p>
      <w:pPr>
        <w:pStyle w:val="Détail"/>
        <w:numPr>
          <w:ilvl w:val="0"/>
          <w:numId w:val="3"/>
        </w:numPr>
      </w:pPr>
      <w:r>
        <w:t xml:space="preserve">Autoroute 15mn</w:t>
      </w:r>
    </w:p>
    <w:p>
      <w:pPr>
        <w:pStyle w:val="Détail"/>
        <w:numPr>
          <w:ilvl w:val="0"/>
          <w:numId w:val="3"/>
        </w:numPr>
      </w:pPr>
      <w:r>
        <w:t xml:space="preserve">Commerces 5mn</w:t>
      </w:r>
    </w:p>
    <w:p>
      <w:pPr>
        <w:pStyle w:val="Détail"/>
        <w:numPr>
          <w:ilvl w:val="0"/>
          <w:numId w:val="3"/>
        </w:numPr>
      </w:pPr>
      <w:r>
        <w:t xml:space="preserve">Ecole 5mn</w:t>
      </w:r>
    </w:p>
    <w:p>
      <w:pPr>
        <w:pStyle w:val="Détail"/>
        <w:numPr>
          <w:ilvl w:val="0"/>
          <w:numId w:val="3"/>
        </w:numPr>
      </w:pPr>
      <w:r>
        <w:t xml:space="preserve">Gare 10mn</w:t>
      </w:r>
    </w:p>
    <w:p>
      <w:pPr>
        <w:pStyle w:val="Détail"/>
        <w:numPr>
          <w:ilvl w:val="0"/>
          <w:numId w:val="3"/>
        </w:numPr>
      </w:pPr>
      <w:r>
        <w:t xml:space="preserve">Hôpital 10mn</w:t>
      </w:r>
    </w:p>
    <w:p>
      <w:pPr>
        <w:pStyle w:val="Type de détail"/>
        <w:numPr>
          <w:ilvl w:val="0"/>
          <w:numId w:val="4"/>
        </w:numPr>
      </w:pPr>
      <w:r>
        <w:rPr>
          <w:sz w:val="24"/>
          <w:u w:val="single"/>
        </w:rPr>
        <w:t xml:space="preserve">Terrain:</w:t>
      </w:r>
    </w:p>
    <w:p>
      <w:pPr>
        <w:pStyle w:val="Détail"/>
        <w:numPr>
          <w:ilvl w:val="0"/>
          <w:numId w:val="3"/>
        </w:numPr>
      </w:pPr>
      <w:r>
        <w:t xml:space="preserve">Arboré</w:t>
      </w:r>
    </w:p>
    <w:p>
      <w:pPr>
        <w:pStyle w:val="Détail"/>
        <w:numPr>
          <w:ilvl w:val="0"/>
          <w:numId w:val="3"/>
        </w:numPr>
      </w:pPr>
      <w:r>
        <w:t xml:space="preserve">Cloturé</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180 000 €</w:t>
      </w:r>
      <w:r>
        <w:rPr>
          <w:sz w:val="24"/>
        </w:rPr>
        <w:t xml:space="preserve"> (</w:t>
      </w:r>
      <w:r>
        <w:rPr>
          <w:b w:val="on"/>
          <w:sz w:val="24"/>
        </w:rPr>
        <w:t xml:space="preserve">CENT QUATRE VINGT MILLE EUROS</w:t>
      </w:r>
      <w:r>
        <w:rPr>
          <w:sz w:val="24"/>
        </w:rPr>
        <w:t xml:space="preserve">) et </w:t>
      </w:r>
      <w:r>
        <w:rPr>
          <w:b w:val="on"/>
          <w:sz w:val="24"/>
        </w:rPr>
        <w:t xml:space="preserve">200 000€</w:t>
      </w:r>
      <w:r>
        <w:rPr>
          <w:sz w:val="24"/>
        </w:rPr>
        <w:t xml:space="preserve"> (</w:t>
      </w:r>
      <w:r>
        <w:rPr>
          <w:b w:val="on"/>
          <w:sz w:val="24"/>
        </w:rPr>
        <w:t xml:space="preserve"> DEUX CENT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24 septembre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Lagarrigue Alexia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agent commercial immobilier</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