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GERY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19115" cy="4131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115" cy="413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CA6924-2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