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29984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99845"/>
                    </a:xfrm>
                    <a:prstGeom prst="rect">
                      <a:avLst/>
                    </a:prstGeom>
                  </pic:spPr>
                </pic:pic>
              </a:graphicData>
            </a:graphic>
          </wp:inline>
        </w:drawing>
      </w:r>
      <w:r>
        <w:rPr>
          <w:sz w:val="22"/>
        </w:rPr>
        <w:t xml:space="preserve"> </w:t>
      </w:r>
      <w:r>
        <w:drawing>
          <wp:inline distT="0" distB="0" distL="0" distR="0">
            <wp:extent cx="1905000" cy="1299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99845"/>
                    </a:xfrm>
                    <a:prstGeom prst="rect">
                      <a:avLst/>
                    </a:prstGeom>
                  </pic:spPr>
                </pic:pic>
              </a:graphicData>
            </a:graphic>
          </wp:inline>
        </w:drawing>
      </w:r>
      <w:r>
        <w:rPr>
          <w:sz w:val="22"/>
        </w:rPr>
        <w:t xml:space="preserve"> </w:t>
      </w:r>
      <w:r>
        <w:drawing>
          <wp:inline distT="0" distB="0" distL="0" distR="0">
            <wp:extent cx="1905000" cy="1299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9984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11 septembre 2024, un(e) Maison Contemporaine sis 2395 Route de Niaudon 46220 PRAYSSAC appartenant à Mme MOUSSET Denise -S/C de L'UDAF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sz w:val="22"/>
        </w:rPr>
      </w:pPr>
      <w:r>
        <w:rPr>
          <w:sz w:val="22"/>
        </w:rPr>
        <w:t xml:space="preserve"> Prayssac à 4 km du centre ville, maison d'environ 50 m² de surface habitable sur un terrain clos de 1.286 m² . Rez-de-chaussée : cuisine, wc, salle à manger, coin chaufferie, salle de bain, 1 chambre. Etage : 2 greniers . Garage. Fenêtres bois en survitrage. Chauffage central gaz (cuve). Assainissement individuel (non conforme). Les informations sur les risques auxquels ce bien est exposé sont disponibles sur le site Géorisques </w:t>
      </w:r>
      <w:r>
        <w:rPr>
          <w:color w:val="0000FF"/>
          <w:sz w:val="22"/>
          <w:u w:val="single"/>
        </w:rPr>
        <w:t xml:space="preserve">www.georisques.gouv.fr </w:t>
      </w:r>
      <w:r>
        <w:rPr>
          <w:sz w:val="22"/>
        </w:rPr>
        <w:t xml:space="preserve"> Parcelle -B- n°-806-807-      1 286 m²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Hameau .</w:t>
      </w:r>
      <w:r>
        <w:rPr>
          <w:b w:val="on"/>
          <w:sz w:val="22"/>
        </w:rPr>
        <w:t xml:space="preserve">Rez de chaussée: </w:t>
      </w:r>
      <w:r>
        <w:rPr>
          <w:sz w:val="22"/>
        </w:rPr>
        <w:t xml:space="preserve">Chambre 13,64 m²Cuisine 8,70 M² Garage 18,78 m² Pièce avec chaudiere 2,09 m² Salle à manger 21,20 m² Salle de bains 3,20 m² WC 1,03 m² </w:t>
      </w:r>
      <w:r>
        <w:rPr>
          <w:b w:val="on"/>
          <w:sz w:val="22"/>
        </w:rPr>
        <w:t xml:space="preserve">1er étage: </w:t>
      </w:r>
      <w:r>
        <w:rPr>
          <w:sz w:val="22"/>
        </w:rPr>
        <w:t xml:space="preserve">Grenier 35m² Aménagé en bureau et chambre(non chauffée) </w:t>
      </w:r>
      <w:r>
        <w:rPr>
          <w:b w:val="on"/>
          <w:sz w:val="22"/>
        </w:rPr>
        <w:t xml:space="preserve">DPE: </w:t>
      </w:r>
      <w:r>
        <w:rPr>
          <w:sz w:val="22"/>
        </w:rPr>
        <w:t xml:space="preserve">Consommation énergétique en énergie primaire 327,00 KWHep/m²an E Emission de gaz à effet de serre 65,00 Kgco2/m²an E  </w:t>
      </w:r>
      <w:r>
        <w:rPr>
          <w:b w:val="on"/>
          <w:sz w:val="22"/>
        </w:rPr>
        <w:t xml:space="preserve">Chauffage: </w:t>
      </w:r>
      <w:r>
        <w:rPr>
          <w:sz w:val="22"/>
        </w:rPr>
        <w:t xml:space="preserve">CC Gaz cuve exterieure </w:t>
      </w:r>
      <w:r>
        <w:rPr>
          <w:b w:val="on"/>
          <w:sz w:val="22"/>
        </w:rPr>
        <w:t xml:space="preserve">Equipements de Cuisine: </w:t>
      </w:r>
      <w:r>
        <w:rPr>
          <w:sz w:val="22"/>
        </w:rPr>
        <w:t xml:space="preserve">Hotte aspirante </w:t>
      </w:r>
      <w:r>
        <w:rPr>
          <w:b w:val="on"/>
          <w:sz w:val="22"/>
        </w:rPr>
        <w:t xml:space="preserve">Equipements divers</w:t>
      </w:r>
      <w:r>
        <w:rPr>
          <w:sz w:val="22"/>
        </w:rPr>
        <w:t xml:space="preserve">: Fosse septique non conforme </w:t>
      </w:r>
      <w:r>
        <w:rPr>
          <w:b w:val="on"/>
          <w:sz w:val="22"/>
        </w:rPr>
        <w:t xml:space="preserve">Equipements </w:t>
      </w:r>
      <w:r>
        <w:rPr>
          <w:sz w:val="22"/>
        </w:rPr>
        <w:t xml:space="preserve">Electrique: Câble TV Téléphone </w:t>
      </w:r>
      <w:r>
        <w:rPr>
          <w:b w:val="on"/>
          <w:sz w:val="22"/>
        </w:rPr>
        <w:t xml:space="preserve">Fenêtres: Bois</w:t>
      </w:r>
      <w:r>
        <w:rPr>
          <w:sz w:val="22"/>
        </w:rPr>
        <w:t xml:space="preserve"> sur vitrage Volets bois </w:t>
      </w:r>
      <w:r>
        <w:rPr>
          <w:b w:val="on"/>
          <w:sz w:val="22"/>
        </w:rPr>
        <w:t xml:space="preserve">Services:</w:t>
      </w:r>
      <w:r>
        <w:rPr>
          <w:sz w:val="22"/>
        </w:rPr>
        <w:t xml:space="preserve">Calme Commerces 5 km Ecole 5 km Internet / ADSL Ruisseau, Rivière ou Etang Plain-pied </w:t>
      </w:r>
      <w:r>
        <w:rPr>
          <w:b w:val="on"/>
          <w:sz w:val="22"/>
        </w:rPr>
        <w:t xml:space="preserve">Terrain:</w:t>
      </w:r>
      <w:r>
        <w:rPr>
          <w:sz w:val="22"/>
        </w:rPr>
        <w:t xml:space="preserve"> Cloturé Portail </w:t>
      </w:r>
      <w:r>
        <w:rPr>
          <w:b w:val="on"/>
          <w:sz w:val="22"/>
        </w:rPr>
        <w:t xml:space="preserve">Toiture:</w:t>
      </w:r>
      <w:r>
        <w:rPr>
          <w:sz w:val="22"/>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à </w:t>
      </w:r>
      <w:r>
        <w:rPr>
          <w:b w:val="on"/>
          <w:sz w:val="22"/>
        </w:rPr>
        <w:t xml:space="preserve">80.000 €</w:t>
      </w:r>
      <w:r>
        <w:rPr>
          <w:sz w:val="22"/>
        </w:rPr>
        <w:t xml:space="preserve"> (</w:t>
      </w:r>
      <w:r>
        <w:rPr>
          <w:b w:val="on"/>
          <w:sz w:val="22"/>
        </w:rPr>
        <w:t xml:space="preserve">QUATRE VINGT MILLE EUROS</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 Cette évaluation a été donnée sur la base de l'état des prestations du bien, [</w:t>
      </w:r>
      <w:r>
        <w:rPr>
          <w:b w:val="on"/>
          <w:sz w:val="22"/>
        </w:rPr>
        <w:t xml:space="preserve">surface habitable de 50 m²</w:t>
      </w:r>
      <w:r>
        <w:rPr>
          <w:sz w:val="22"/>
        </w:rPr>
        <w:t xml:space="preserve"> </w:t>
      </w:r>
      <w:r>
        <w:rPr>
          <w:b w:val="on"/>
          <w:sz w:val="22"/>
        </w:rPr>
        <w:t xml:space="preserve">compte tenu que les pièces du grenier au départ 35 m² ont été prise en surface habitable alors qu’elles n'étaient pas chauffées (pièces très encombrée)]</w:t>
      </w:r>
      <w:r>
        <w:rPr>
          <w:sz w:val="22"/>
        </w:rPr>
        <w:t xml:space="preserve">, de sa situation, du marché immobilier  à ce jour sur ce secteur et sous réserve du résultat favorable des expertises : termites,  amiante, électricité, gaz,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13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