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0" w:type="dxa"/>
        <w:tblBorders>
          <w:top w:val="single" w:color="auto" w:sz="4" w:space="0"/>
          <w:left w:val="none" w:color="000000" w:sz="4" w:space="0"/>
          <w:bottom w:val="single" w:color="auto" w:sz="4" w:space="0"/>
          <w:right w:val="none" w:color="000000" w:sz="4" w:space="0"/>
          <w:insideH w:val="none" w:color="000000" w:sz="4" w:space="0"/>
          <w:insideV w:val="none" w:color="000000" w:sz="4" w:space="0"/>
        </w:tblBorders>
        <w:tblLayout w:type="fixed"/>
        <w:tblCellMar>
          <w:left w:w="30" w:type="dxa"/>
          <w:top w:w="0" w:type="dxa"/>
          <w:right w:w="30" w:type="dxa"/>
          <w:bottom w:w="0" w:type="dxa"/>
        </w:tblCellMar>
        <w:tblLook w:val="04A0" w:firstRow="1" w:lastRow="0" w:firstColumn="1" w:lastColumn="0" w:noHBand="0" w:noVBand="1"/>
      </w:tblPr>
      <w:tblGrid>
        <w:gridCol w:w="9906"/>
      </w:tblGrid>
      <w:tr>
        <w:trPr/>
        <w:tc>
          <w:tcPr>
            <w:shd w:val="clear" w:color="auto" w:fill="000080"/>
            <w:tcW w:w="9906" w:type="dxa"/>
            <w:vAlign w:val="top"/>
            <w:textDirection w:val="lrTb"/>
            <w:noWrap w:val="false"/>
          </w:tcPr>
          <w:p>
            <w:pPr>
              <w:pStyle w:val="698"/>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10206" w:leader="none"/>
              </w:tabs>
              <w:rPr>
                <w:b/>
                <w:color w:val="ffffff"/>
                <w:sz w:val="22"/>
              </w:rPr>
            </w:pPr>
            <w:r>
              <w:rPr>
                <w:b/>
                <w:color w:val="ffffff"/>
                <w:sz w:val="28"/>
              </w:rPr>
              <w:t xml:space="preserve">AVIS DE VALEUR</w:t>
            </w:r>
            <w:r/>
          </w:p>
        </w:tc>
      </w:tr>
    </w:tbl>
    <w:p>
      <w:pPr>
        <w:pStyle w:val="698"/>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pStyle w:val="698"/>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sz w:val="22"/>
        </w:rPr>
      </w:r>
      <w:r/>
    </w:p>
    <w:tbl>
      <w:tblPr>
        <w:tblW w:w="0" w:type="auto"/>
        <w:tblInd w:w="108"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277"/>
        <w:gridCol w:w="3278"/>
        <w:gridCol w:w="3278"/>
      </w:tblGrid>
      <w:tr>
        <w:trPr/>
        <w:tc>
          <w:tcPr>
            <w:shd w:val="clear" w:color="auto" w:fill="auto"/>
            <w:tcW w:w="3277" w:type="dxa"/>
            <w:vAlign w:val="top"/>
            <w:textDirection w:val="lrTb"/>
            <w:noWrap w:val="false"/>
          </w:tcPr>
          <w:p>
            <w:pPr>
              <w:pStyle w:val="698"/>
              <w:ind w:left="28"/>
              <w:jc w:val="center"/>
              <w:tabs>
                <w:tab w:val="left" w:pos="28" w:leader="none"/>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color w:val="000000"/>
                <w:sz w:val="22"/>
              </w:rPr>
            </w:pPr>
            <w:r>
              <mc:AlternateContent>
                <mc:Choice Requires="wpg">
                  <w:drawing>
                    <wp:inline xmlns:wp="http://schemas.openxmlformats.org/drawingml/2006/wordprocessingDrawing" distT="0" distB="0" distL="0" distR="0">
                      <wp:extent cx="1714500" cy="1143000"/>
                      <wp:effectExtent l="0" t="0" r="0" b="0"/>
                      <wp:docPr id="2" name="_x0000_i1"/>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35.0pt;height:90.0pt;mso-wrap-distance-left:0.0pt;mso-wrap-distance-top:0.0pt;mso-wrap-distance-right:0.0pt;mso-wrap-distance-bottom:0.0pt;" stroked="false">
                      <v:path textboxrect="0,0,0,0"/>
                      <v:imagedata r:id="rId11" o:title=""/>
                    </v:shape>
                  </w:pict>
                </mc:Fallback>
              </mc:AlternateContent>
            </w:r>
            <w:r/>
          </w:p>
        </w:tc>
        <w:tc>
          <w:tcPr>
            <w:shd w:val="clear" w:color="auto" w:fill="auto"/>
            <w:tcW w:w="3278" w:type="dxa"/>
            <w:vAlign w:val="top"/>
            <w:textDirection w:val="lrTb"/>
            <w:noWrap w:val="false"/>
          </w:tcPr>
          <w:p>
            <w:pPr>
              <w:pStyle w:val="698"/>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mc:AlternateContent>
                <mc:Choice Requires="wpg">
                  <w:drawing>
                    <wp:inline xmlns:wp="http://schemas.openxmlformats.org/drawingml/2006/wordprocessingDrawing" distT="0" distB="0" distL="0" distR="0">
                      <wp:extent cx="1714500" cy="1143000"/>
                      <wp:effectExtent l="0" t="0" r="0" b="0"/>
                      <wp:docPr id="3" name="_x0000_i2"/>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2"/>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35.0pt;height:90.0pt;mso-wrap-distance-left:0.0pt;mso-wrap-distance-top:0.0pt;mso-wrap-distance-right:0.0pt;mso-wrap-distance-bottom:0.0pt;" stroked="false">
                      <v:path textboxrect="0,0,0,0"/>
                      <v:imagedata r:id="rId12" o:title=""/>
                    </v:shape>
                  </w:pict>
                </mc:Fallback>
              </mc:AlternateContent>
            </w:r>
            <w:r/>
          </w:p>
        </w:tc>
        <w:tc>
          <w:tcPr>
            <w:shd w:val="clear" w:color="auto" w:fill="auto"/>
            <w:tcW w:w="3278" w:type="dxa"/>
            <w:vAlign w:val="top"/>
            <w:textDirection w:val="lrTb"/>
            <w:noWrap w:val="false"/>
          </w:tcPr>
          <w:p>
            <w:pPr>
              <w:pStyle w:val="698"/>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mc:AlternateContent>
                <mc:Choice Requires="wpg">
                  <w:drawing>
                    <wp:inline xmlns:wp="http://schemas.openxmlformats.org/drawingml/2006/wordprocessingDrawing" distT="0" distB="0" distL="0" distR="0">
                      <wp:extent cx="1714500" cy="1143000"/>
                      <wp:effectExtent l="0" t="0" r="0" b="0"/>
                      <wp:docPr id="4" name="_x0000_i3"/>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3"/>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35.0pt;height:90.0pt;mso-wrap-distance-left:0.0pt;mso-wrap-distance-top:0.0pt;mso-wrap-distance-right:0.0pt;mso-wrap-distance-bottom:0.0pt;" stroked="false">
                      <v:path textboxrect="0,0,0,0"/>
                      <v:imagedata r:id="rId13" o:title=""/>
                    </v:shape>
                  </w:pict>
                </mc:Fallback>
              </mc:AlternateContent>
            </w:r>
            <w:r/>
          </w:p>
        </w:tc>
      </w:tr>
    </w:tbl>
    <w:p>
      <w:pPr>
        <w:pStyle w:val="698"/>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sz w:val="22"/>
        </w:rPr>
      </w:r>
      <w:r/>
    </w:p>
    <w:p>
      <w:pPr>
        <w:pStyle w:val="698"/>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sz w:val="22"/>
        </w:rPr>
        <w:t xml:space="preserve">Je soussigné(e), Emmanuelle Alazard,  de la Sarl Quercy Transactions, 3, place Jean-Jacques Chapou, 46000 CAHORS (Lot), atteste par la présente avoir visité le 22/08/24, un Immeuble sis 14 rue Pierre de Berni 46000 CAHORS appartenant à Mr ILLESCAS Louis</w:t>
      </w:r>
      <w:r/>
    </w:p>
    <w:p>
      <w:pPr>
        <w:pStyle w:val="698"/>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2"/>
        </w:rPr>
      </w:pPr>
      <w:r>
        <w:rPr>
          <w:color w:val="000000"/>
          <w:sz w:val="22"/>
        </w:rPr>
      </w:r>
      <w:r/>
    </w:p>
    <w:tbl>
      <w:tblPr>
        <w:tblW w:w="0" w:type="auto"/>
        <w:tblInd w:w="30" w:type="dxa"/>
        <w:tblBorders>
          <w:top w:val="single" w:color="auto" w:sz="4" w:space="0"/>
          <w:left w:val="none" w:color="000000" w:sz="4" w:space="0"/>
          <w:bottom w:val="single" w:color="auto" w:sz="4" w:space="0"/>
          <w:right w:val="none" w:color="000000" w:sz="4" w:space="0"/>
          <w:insideH w:val="none" w:color="000000" w:sz="4" w:space="0"/>
          <w:insideV w:val="none" w:color="000000" w:sz="4" w:space="0"/>
        </w:tblBorders>
        <w:tblLayout w:type="fixed"/>
        <w:tblCellMar>
          <w:left w:w="30" w:type="dxa"/>
          <w:top w:w="0" w:type="dxa"/>
          <w:right w:w="30" w:type="dxa"/>
          <w:bottom w:w="0" w:type="dxa"/>
        </w:tblCellMar>
        <w:tblLook w:val="04A0" w:firstRow="1" w:lastRow="0" w:firstColumn="1" w:lastColumn="0" w:noHBand="0" w:noVBand="1"/>
      </w:tblPr>
      <w:tblGrid>
        <w:gridCol w:w="9906"/>
      </w:tblGrid>
      <w:tr>
        <w:trPr/>
        <w:tc>
          <w:tcPr>
            <w:shd w:val="clear" w:color="auto" w:fill="000080"/>
            <w:tcW w:w="9906" w:type="dxa"/>
            <w:vAlign w:val="top"/>
            <w:textDirection w:val="lrTb"/>
            <w:noWrap w:val="false"/>
          </w:tcPr>
          <w:p>
            <w:pPr>
              <w:pStyle w:val="698"/>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10206" w:leader="none"/>
              </w:tabs>
              <w:rPr>
                <w:b/>
                <w:color w:val="ffffff"/>
                <w:sz w:val="22"/>
              </w:rPr>
            </w:pPr>
            <w:r>
              <w:rPr>
                <w:b/>
                <w:color w:val="ffffff"/>
                <w:sz w:val="22"/>
              </w:rPr>
              <w:t xml:space="preserve">Descriptif</w:t>
            </w:r>
            <w:r/>
          </w:p>
        </w:tc>
      </w:tr>
    </w:tbl>
    <w:p>
      <w:pPr>
        <w:pStyle w:val="698"/>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sz w:val="22"/>
        </w:rPr>
      </w:r>
      <w:r/>
    </w:p>
    <w:p>
      <w:pPr>
        <w:pStyle w:val="698"/>
        <w:ind w:left="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color w:val="000000"/>
          <w:sz w:val="24"/>
        </w:rPr>
        <w:t xml:space="preserve">CAHORS Centre-ville. Quartier sauvegardé .Immeuble comprenant un T3 de 54 m² en duplex, un autre T3 en duplex de 46 m² avec vue sur les toits de CAHORS tout deu</w:t>
      </w:r>
      <w:r>
        <w:rPr>
          <w:color w:val="000000"/>
          <w:sz w:val="24"/>
        </w:rPr>
        <w:t xml:space="preserve">x fraîchement rénovés ainsi qu'une pièce au rez-de-chaussée de 21.1 m² et d'une cave. Le bien est idéalement situé à proximité de tout commerces et services. Se trouvant proche de la plupart des établissements scolaires, celui-ci est donc idéal pour la loc</w:t>
      </w:r>
      <w:r>
        <w:rPr>
          <w:color w:val="000000"/>
          <w:sz w:val="24"/>
        </w:rPr>
        <w:t xml:space="preserve">ation auprès des étudiants. Chaque T3 duplex sont équipés de chauffage électrique avec cumulus individuel, interphone, Fibre et fenêtres double vitrage PVC.es informations sur les risques auxquels ce bien est exposé sont disponibles sur le site Géorisques </w:t>
      </w:r>
      <w:r>
        <w:rPr>
          <w:color w:val="0000ff"/>
          <w:sz w:val="24"/>
          <w:u w:val="single"/>
        </w:rPr>
        <w:fldChar w:fldCharType="begin"/>
      </w:r>
      <w:r>
        <w:rPr>
          <w:color w:val="0000ff"/>
          <w:sz w:val="24"/>
          <w:u w:val="single"/>
        </w:rPr>
        <w:instrText xml:space="preserve"> HYPERLINK "</w:instrText>
      </w:r>
      <w:r>
        <w:rPr>
          <w:color w:val="0000ff"/>
          <w:sz w:val="24"/>
          <w:u w:val="single"/>
        </w:rPr>
        <w:fldChar w:fldCharType="separate"/>
      </w:r>
      <w:r>
        <w:rPr>
          <w:color w:val="0000ff"/>
          <w:sz w:val="24"/>
          <w:u w:val="single"/>
        </w:rPr>
        <w:t xml:space="preserve">www.georisques.gouv.fr</w:t>
      </w:r>
      <w:r>
        <w:fldChar w:fldCharType="end"/>
      </w:r>
      <w:r/>
    </w:p>
    <w:p>
      <w:pPr>
        <w:pStyle w:val="698"/>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sz w:val="22"/>
        </w:rPr>
        <w:t xml:space="preserve">Surface habitable environ : 127.2 m²</w:t>
      </w:r>
      <w:r/>
    </w:p>
    <w:p>
      <w:pPr>
        <w:pStyle w:val="698"/>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sz w:val="22"/>
        </w:rPr>
        <w:t xml:space="preserve">Parcelle n°000 CD 275 avec 62 m².</w:t>
      </w:r>
      <w:r/>
    </w:p>
    <w:p>
      <w:pPr>
        <w:pStyle w:val="698"/>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tbl>
      <w:tblPr>
        <w:tblW w:w="0" w:type="auto"/>
        <w:tblInd w:w="30" w:type="dxa"/>
        <w:tblBorders>
          <w:top w:val="single" w:color="auto" w:sz="4" w:space="0"/>
          <w:left w:val="none" w:color="000000" w:sz="4" w:space="0"/>
          <w:bottom w:val="single" w:color="auto" w:sz="4" w:space="0"/>
          <w:right w:val="none" w:color="000000" w:sz="4" w:space="0"/>
          <w:insideH w:val="none" w:color="000000" w:sz="4" w:space="0"/>
          <w:insideV w:val="none" w:color="000000" w:sz="4" w:space="0"/>
        </w:tblBorders>
        <w:tblLayout w:type="fixed"/>
        <w:tblCellMar>
          <w:left w:w="30" w:type="dxa"/>
          <w:top w:w="0" w:type="dxa"/>
          <w:right w:w="30" w:type="dxa"/>
          <w:bottom w:w="0" w:type="dxa"/>
        </w:tblCellMar>
        <w:tblLook w:val="04A0" w:firstRow="1" w:lastRow="0" w:firstColumn="1" w:lastColumn="0" w:noHBand="0" w:noVBand="1"/>
      </w:tblPr>
      <w:tblGrid>
        <w:gridCol w:w="9906"/>
      </w:tblGrid>
      <w:tr>
        <w:trPr/>
        <w:tc>
          <w:tcPr>
            <w:shd w:val="clear" w:color="auto" w:fill="000080"/>
            <w:tcW w:w="9906" w:type="dxa"/>
            <w:vAlign w:val="top"/>
            <w:textDirection w:val="lrTb"/>
            <w:noWrap w:val="false"/>
          </w:tcPr>
          <w:p>
            <w:pPr>
              <w:pStyle w:val="698"/>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10206" w:leader="none"/>
              </w:tabs>
              <w:rPr>
                <w:b/>
                <w:color w:val="ffffff"/>
                <w:sz w:val="22"/>
              </w:rPr>
            </w:pPr>
            <w:r>
              <w:rPr>
                <w:b/>
                <w:color w:val="ffffff"/>
                <w:sz w:val="22"/>
              </w:rPr>
              <w:t xml:space="preserve"> Immeuble</w:t>
            </w:r>
            <w:r/>
          </w:p>
        </w:tc>
      </w:tr>
    </w:tbl>
    <w:p>
      <w:pPr>
        <w:pStyle w:val="698"/>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pStyle w:val="698"/>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b/>
          <w:sz w:val="22"/>
        </w:rPr>
        <w:t xml:space="preserve">SITUATION DU BIEN:</w:t>
      </w:r>
      <w:r>
        <w:rPr>
          <w:sz w:val="22"/>
        </w:rPr>
        <w:br/>
      </w:r>
      <w:r>
        <w:rPr>
          <w:sz w:val="22"/>
        </w:rPr>
        <w:t xml:space="preserve"> - Centre-Ville proche de tout commerces, services et établissements scolaires</w:t>
        <w:br/>
      </w:r>
      <w:r>
        <w:rPr>
          <w:b/>
          <w:sz w:val="22"/>
        </w:rPr>
        <w:br/>
      </w:r>
      <w:r>
        <w:rPr>
          <w:b/>
          <w:sz w:val="22"/>
        </w:rPr>
        <w:t xml:space="preserve">REZ DE CHAUSSÉE:</w:t>
      </w:r>
      <w:r>
        <w:rPr>
          <w:sz w:val="22"/>
        </w:rPr>
        <w:br/>
      </w:r>
      <w:r>
        <w:rPr>
          <w:sz w:val="22"/>
        </w:rPr>
        <w:t xml:space="preserve"> - Atelier de 21.14 m²</w:t>
        <w:br/>
      </w:r>
      <w:r>
        <w:rPr>
          <w:sz w:val="22"/>
        </w:rPr>
        <w:t xml:space="preserve"> - Couloir 6 m²</w:t>
        <w:br/>
      </w:r>
      <w:r>
        <w:rPr>
          <w:sz w:val="22"/>
        </w:rPr>
        <w:br/>
      </w:r>
      <w:r>
        <w:rPr>
          <w:b/>
          <w:sz w:val="22"/>
        </w:rPr>
        <w:t xml:space="preserve">1ER ÉTAGE:</w:t>
      </w:r>
      <w:r>
        <w:rPr>
          <w:sz w:val="22"/>
        </w:rPr>
        <w:br/>
      </w:r>
      <w:r>
        <w:rPr>
          <w:sz w:val="22"/>
        </w:rPr>
        <w:t xml:space="preserve"> - Appartement T3 DUPLEX de 54 m² en totalité</w:t>
        <w:br/>
      </w:r>
      <w:r>
        <w:rPr>
          <w:sz w:val="22"/>
        </w:rPr>
        <w:t xml:space="preserve"> - Bureau de  7.09 m²</w:t>
        <w:br/>
      </w:r>
      <w:r>
        <w:rPr>
          <w:sz w:val="22"/>
        </w:rPr>
        <w:t xml:space="preserve"> - Chambre de 10.41 m²</w:t>
        <w:br/>
      </w:r>
      <w:r>
        <w:rPr>
          <w:sz w:val="22"/>
        </w:rPr>
        <w:t xml:space="preserve"> - Cuisine + entrée de 7.01 m²</w:t>
        <w:br/>
      </w:r>
      <w:r>
        <w:rPr>
          <w:sz w:val="22"/>
        </w:rPr>
        <w:t xml:space="preserve"> - dégagement de 2.60 m²</w:t>
        <w:br/>
      </w:r>
      <w:r>
        <w:rPr>
          <w:sz w:val="22"/>
        </w:rPr>
        <w:t xml:space="preserve"> - Salle de bains de 4 m²</w:t>
        <w:br/>
      </w:r>
      <w:r>
        <w:rPr>
          <w:sz w:val="22"/>
        </w:rPr>
        <w:t xml:space="preserve"> - Séjour de 19.36 m²</w:t>
        <w:br/>
      </w:r>
      <w:r>
        <w:rPr>
          <w:sz w:val="22"/>
        </w:rPr>
        <w:t xml:space="preserve"> -  Lingerie de 8 m²</w:t>
        <w:br/>
      </w:r>
      <w:r>
        <w:rPr>
          <w:sz w:val="22"/>
        </w:rPr>
        <w:br/>
      </w:r>
      <w:r>
        <w:rPr>
          <w:b/>
          <w:sz w:val="22"/>
        </w:rPr>
        <w:t xml:space="preserve">2ÈME ÉTAGE:</w:t>
      </w:r>
      <w:r>
        <w:rPr>
          <w:sz w:val="22"/>
        </w:rPr>
        <w:br/>
      </w:r>
      <w:r>
        <w:rPr>
          <w:sz w:val="22"/>
        </w:rPr>
        <w:t xml:space="preserve"> - Appartement T3 en DUPLEX de 46.02 m² en totalité</w:t>
        <w:br/>
      </w:r>
      <w:r>
        <w:rPr>
          <w:sz w:val="22"/>
        </w:rPr>
        <w:t xml:space="preserve"> - Bureau de 4.06 m² mais mansardée donc 7.09 m²</w:t>
        <w:br/>
      </w:r>
      <w:r>
        <w:rPr>
          <w:sz w:val="22"/>
        </w:rPr>
        <w:t xml:space="preserve"> - Chambre de 8.99 m² mais mansardée donc 10.41 m² au sol.</w:t>
        <w:br/>
      </w:r>
      <w:r>
        <w:rPr>
          <w:sz w:val="22"/>
        </w:rPr>
        <w:t xml:space="preserve"> - Cuisine + entrée de 7.01 m²</w:t>
        <w:br/>
      </w:r>
      <w:r>
        <w:rPr>
          <w:sz w:val="22"/>
        </w:rPr>
        <w:t xml:space="preserve"> - Dégagement de 2.60 m²</w:t>
        <w:br/>
      </w:r>
      <w:r>
        <w:rPr>
          <w:sz w:val="22"/>
        </w:rPr>
        <w:t xml:space="preserve"> - Salle de bains de 4 m²</w:t>
        <w:br/>
      </w:r>
      <w:r>
        <w:rPr>
          <w:sz w:val="22"/>
        </w:rPr>
        <w:t xml:space="preserve"> -  Séjour de 19.36 m²</w:t>
        <w:br/>
      </w:r>
      <w:r>
        <w:rPr>
          <w:sz w:val="22"/>
        </w:rPr>
        <w:br/>
      </w:r>
      <w:r>
        <w:rPr>
          <w:b/>
          <w:sz w:val="22"/>
        </w:rPr>
        <w:t xml:space="preserve">DPE:</w:t>
      </w:r>
      <w:r>
        <w:rPr>
          <w:sz w:val="22"/>
        </w:rPr>
        <w:br/>
      </w:r>
      <w:r>
        <w:rPr>
          <w:sz w:val="22"/>
        </w:rPr>
        <w:t xml:space="preserve"> - Consommation énergétique (en énergie primaire):</w:t>
        <w:br/>
      </w:r>
      <w:r>
        <w:rPr>
          <w:sz w:val="22"/>
        </w:rPr>
        <w:t xml:space="preserve"> - Emission de gaz à effet de serre:</w:t>
        <w:br/>
      </w:r>
      <w:r>
        <w:rPr>
          <w:sz w:val="22"/>
        </w:rPr>
        <w:br/>
      </w:r>
      <w:r>
        <w:rPr>
          <w:b/>
          <w:sz w:val="22"/>
        </w:rPr>
        <w:t xml:space="preserve">BIEN AV LOUÉ:</w:t>
      </w:r>
      <w:r>
        <w:rPr>
          <w:sz w:val="22"/>
        </w:rPr>
        <w:br/>
      </w:r>
      <w:r>
        <w:rPr>
          <w:sz w:val="22"/>
        </w:rPr>
        <w:t xml:space="preserve"> - Bien actuellement loué pour le T3 au 2ème étage</w:t>
        <w:br/>
      </w:r>
      <w:r>
        <w:rPr>
          <w:sz w:val="22"/>
        </w:rPr>
        <w:br/>
      </w:r>
      <w:r>
        <w:rPr>
          <w:b/>
          <w:sz w:val="22"/>
        </w:rPr>
        <w:t xml:space="preserve">CHAUFFAGE:</w:t>
      </w:r>
      <w:r>
        <w:rPr>
          <w:sz w:val="22"/>
        </w:rPr>
        <w:br/>
      </w:r>
      <w:r>
        <w:rPr>
          <w:sz w:val="22"/>
        </w:rPr>
        <w:t xml:space="preserve"> - Electrique </w:t>
        <w:br/>
      </w:r>
      <w:r>
        <w:rPr>
          <w:sz w:val="22"/>
        </w:rPr>
        <w:br/>
      </w:r>
      <w:r>
        <w:rPr>
          <w:b/>
          <w:sz w:val="22"/>
        </w:rPr>
        <w:t xml:space="preserve">DONNÉES FINANCIÈRES:</w:t>
      </w:r>
      <w:r>
        <w:rPr>
          <w:sz w:val="22"/>
        </w:rPr>
        <w:br/>
      </w:r>
      <w:r>
        <w:rPr>
          <w:sz w:val="22"/>
        </w:rPr>
        <w:t xml:space="preserve"> - Revenu locatif 500 +530</w:t>
        <w:br/>
      </w:r>
      <w:r>
        <w:rPr>
          <w:sz w:val="22"/>
        </w:rPr>
        <w:t xml:space="preserve"> - Type de bail 3/6/9</w:t>
        <w:br/>
      </w:r>
      <w:r>
        <w:rPr>
          <w:sz w:val="22"/>
        </w:rPr>
        <w:t xml:space="preserve"> - Taxe Fonciere environ 2600€</w:t>
        <w:br/>
      </w:r>
      <w:r>
        <w:rPr>
          <w:sz w:val="22"/>
        </w:rPr>
        <w:br/>
      </w:r>
      <w:r>
        <w:rPr>
          <w:b/>
          <w:sz w:val="22"/>
        </w:rPr>
        <w:t xml:space="preserve">EQUIPEMENTS DIVERS:</w:t>
      </w:r>
      <w:r>
        <w:rPr>
          <w:sz w:val="22"/>
        </w:rPr>
        <w:br/>
      </w:r>
      <w:r>
        <w:rPr>
          <w:sz w:val="22"/>
        </w:rPr>
        <w:t xml:space="preserve"> - Double vitrage </w:t>
        <w:br/>
      </w:r>
      <w:r>
        <w:rPr>
          <w:sz w:val="22"/>
        </w:rPr>
        <w:t xml:space="preserve"> - Tout à l'égout </w:t>
        <w:br/>
      </w:r>
      <w:r>
        <w:rPr>
          <w:sz w:val="22"/>
        </w:rPr>
        <w:t xml:space="preserve"> - Production eau chaude ballons</w:t>
        <w:br/>
      </w:r>
      <w:r>
        <w:rPr>
          <w:sz w:val="22"/>
        </w:rPr>
        <w:br/>
      </w:r>
      <w:r>
        <w:rPr>
          <w:b/>
          <w:sz w:val="22"/>
        </w:rPr>
        <w:t xml:space="preserve">EQUIPEMENTS ELECTRIQUE:</w:t>
      </w:r>
      <w:r>
        <w:rPr>
          <w:sz w:val="22"/>
        </w:rPr>
        <w:br/>
      </w:r>
      <w:r>
        <w:rPr>
          <w:sz w:val="22"/>
        </w:rPr>
        <w:t xml:space="preserve"> - Câble TV </w:t>
        <w:br/>
      </w:r>
      <w:r>
        <w:rPr>
          <w:sz w:val="22"/>
        </w:rPr>
        <w:t xml:space="preserve"> - Interphone </w:t>
        <w:br/>
      </w:r>
      <w:r>
        <w:rPr>
          <w:sz w:val="22"/>
        </w:rPr>
        <w:br/>
      </w:r>
      <w:r>
        <w:rPr>
          <w:b/>
          <w:sz w:val="22"/>
        </w:rPr>
        <w:t xml:space="preserve">FENÊTRES:</w:t>
      </w:r>
      <w:r>
        <w:rPr>
          <w:sz w:val="22"/>
        </w:rPr>
        <w:br/>
      </w:r>
      <w:r>
        <w:rPr>
          <w:sz w:val="22"/>
        </w:rPr>
        <w:t xml:space="preserve"> - PVC double vitrage</w:t>
        <w:br/>
      </w:r>
      <w:r>
        <w:rPr>
          <w:sz w:val="22"/>
        </w:rPr>
        <w:br/>
      </w:r>
      <w:r>
        <w:rPr>
          <w:b/>
          <w:sz w:val="22"/>
        </w:rPr>
        <w:t xml:space="preserve">INFOS SUR LOCATION:</w:t>
      </w:r>
      <w:r>
        <w:rPr>
          <w:sz w:val="22"/>
        </w:rPr>
        <w:br/>
      </w:r>
      <w:r>
        <w:rPr>
          <w:sz w:val="22"/>
        </w:rPr>
        <w:t xml:space="preserve"> - Loyer mensuel hors charges: 500 € pour le T3 au 2 ème étage et 530 € pour celui au 1 er étage</w:t>
        <w:br/>
      </w:r>
      <w:r>
        <w:rPr>
          <w:sz w:val="22"/>
        </w:rPr>
        <w:t xml:space="preserve"> - Provision sur charges mensuelles récup.: 20 € pour chaque appartement</w:t>
        <w:br/>
      </w:r>
      <w:r>
        <w:rPr>
          <w:sz w:val="22"/>
        </w:rPr>
        <w:t xml:space="preserve"> - Durée Bail: 3 ans</w:t>
        <w:br/>
      </w:r>
      <w:r>
        <w:rPr>
          <w:sz w:val="22"/>
        </w:rPr>
        <w:t xml:space="preserve"> - Loyer hors taxes:</w:t>
      </w:r>
      <w:r/>
    </w:p>
    <w:p>
      <w:pPr>
        <w:pStyle w:val="698"/>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sz w:val="22"/>
        </w:rPr>
        <w:br/>
      </w:r>
      <w:r>
        <w:rPr>
          <w:sz w:val="22"/>
        </w:rPr>
        <w:br/>
      </w:r>
      <w:r>
        <w:rPr>
          <w:b/>
          <w:sz w:val="22"/>
        </w:rPr>
        <w:t xml:space="preserve">SERVICES:</w:t>
      </w:r>
      <w:r>
        <w:rPr>
          <w:sz w:val="22"/>
        </w:rPr>
        <w:br/>
      </w:r>
      <w:r>
        <w:rPr>
          <w:sz w:val="22"/>
        </w:rPr>
        <w:t xml:space="preserve"> - Calme </w:t>
        <w:br/>
      </w:r>
      <w:r>
        <w:rPr>
          <w:sz w:val="22"/>
        </w:rPr>
        <w:t xml:space="preserve"> - Commerces </w:t>
        <w:br/>
      </w:r>
      <w:r>
        <w:rPr>
          <w:sz w:val="22"/>
        </w:rPr>
        <w:t xml:space="preserve"> - Ecole </w:t>
        <w:br/>
      </w:r>
      <w:r>
        <w:rPr>
          <w:sz w:val="22"/>
        </w:rPr>
        <w:t xml:space="preserve"> - Gare </w:t>
        <w:br/>
      </w:r>
      <w:r>
        <w:rPr>
          <w:sz w:val="22"/>
        </w:rPr>
        <w:t xml:space="preserve"> - Hôpital </w:t>
        <w:br/>
      </w:r>
      <w:r>
        <w:rPr>
          <w:sz w:val="22"/>
        </w:rPr>
        <w:t xml:space="preserve"> - Internet / ADSL </w:t>
        <w:br/>
      </w:r>
      <w:r>
        <w:rPr>
          <w:sz w:val="22"/>
        </w:rPr>
        <w:t xml:space="preserve"> - Secteur Sauvegardé </w:t>
      </w:r>
      <w:r/>
    </w:p>
    <w:p>
      <w:pPr>
        <w:pStyle w:val="698"/>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sz w:val="22"/>
        </w:rPr>
        <w:br/>
      </w:r>
      <w:r>
        <w:rPr>
          <w:b/>
          <w:sz w:val="22"/>
        </w:rPr>
        <w:t xml:space="preserve">SOUS SOL:</w:t>
      </w:r>
      <w:r>
        <w:rPr>
          <w:sz w:val="22"/>
        </w:rPr>
        <w:br/>
      </w:r>
      <w:r>
        <w:rPr>
          <w:sz w:val="22"/>
        </w:rPr>
        <w:t xml:space="preserve"> - Cave environ 27 m²</w:t>
      </w:r>
      <w:r/>
    </w:p>
    <w:p>
      <w:pPr>
        <w:pStyle w:val="698"/>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sz w:val="22"/>
        </w:rPr>
        <w:br/>
      </w:r>
      <w:r>
        <w:rPr>
          <w:b/>
          <w:sz w:val="22"/>
        </w:rPr>
        <w:t xml:space="preserve">TERRAIN</w:t>
      </w:r>
      <w:r>
        <w:rPr>
          <w:sz w:val="22"/>
        </w:rPr>
        <w:t xml:space="preserve">:</w:t>
        <w:br/>
      </w:r>
      <w:r>
        <w:rPr>
          <w:sz w:val="22"/>
        </w:rPr>
        <w:t xml:space="preserve"> - Cour </w:t>
      </w:r>
      <w:r/>
    </w:p>
    <w:p>
      <w:pPr>
        <w:pStyle w:val="698"/>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sz w:val="22"/>
        </w:rPr>
        <w:br/>
      </w:r>
      <w:r>
        <w:rPr>
          <w:b/>
          <w:sz w:val="22"/>
        </w:rPr>
        <w:t xml:space="preserve">TOITURE:</w:t>
      </w:r>
      <w:r>
        <w:rPr>
          <w:sz w:val="22"/>
        </w:rPr>
        <w:br/>
      </w:r>
      <w:r>
        <w:rPr>
          <w:sz w:val="22"/>
        </w:rPr>
        <w:t xml:space="preserve"> - Tuiles romane</w:t>
      </w:r>
      <w:r/>
    </w:p>
    <w:p>
      <w:pPr>
        <w:pStyle w:val="698"/>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sz w:val="22"/>
        </w:rPr>
        <w:br/>
      </w:r>
      <w:r>
        <w:rPr>
          <w:b/>
          <w:sz w:val="22"/>
        </w:rPr>
        <w:t xml:space="preserve">VUE:</w:t>
      </w:r>
      <w:r>
        <w:rPr>
          <w:sz w:val="22"/>
        </w:rPr>
        <w:br/>
      </w:r>
      <w:r>
        <w:rPr>
          <w:sz w:val="22"/>
        </w:rPr>
        <w:t xml:space="preserve"> - Dégagée sur les  toits de cahors pour le T3 au 2ème étage</w:t>
        <w:br/>
      </w:r>
      <w:r>
        <w:rPr>
          <w:sz w:val="22"/>
        </w:rPr>
        <w:t xml:space="preserve"> - Vue sur jardin pour le T3 au 1er étage</w:t>
      </w:r>
      <w:r/>
    </w:p>
    <w:p>
      <w:pPr>
        <w:pStyle w:val="698"/>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sz w:val="22"/>
        </w:rPr>
      </w:r>
      <w:r/>
    </w:p>
    <w:p>
      <w:pPr>
        <w:pStyle w:val="698"/>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sz w:val="22"/>
        </w:rPr>
        <w:tab/>
        <w:t xml:space="preserve">A l'issue de cette visite, j'ai évalué ce bien entre </w:t>
      </w:r>
      <w:r>
        <w:rPr>
          <w:b/>
          <w:sz w:val="24"/>
        </w:rPr>
        <w:t xml:space="preserve">130 000 €</w:t>
      </w:r>
      <w:r>
        <w:rPr>
          <w:sz w:val="22"/>
        </w:rPr>
        <w:t xml:space="preserve"> (cent trente mille euros) et</w:t>
      </w:r>
      <w:r>
        <w:rPr>
          <w:b/>
          <w:sz w:val="22"/>
        </w:rPr>
        <w:t xml:space="preserve"> </w:t>
      </w:r>
      <w:r>
        <w:rPr>
          <w:b/>
          <w:sz w:val="24"/>
        </w:rPr>
        <w:t xml:space="preserve">140 000 €</w:t>
      </w:r>
      <w:r>
        <w:rPr>
          <w:sz w:val="24"/>
        </w:rPr>
        <w:t xml:space="preserve"> </w:t>
      </w:r>
      <w:r>
        <w:rPr>
          <w:sz w:val="22"/>
        </w:rPr>
        <w:t xml:space="preserve">(cent quarante mille euros). </w:t>
      </w:r>
      <w:r/>
    </w:p>
    <w:p>
      <w:pPr>
        <w:pStyle w:val="698"/>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sz w:val="22"/>
        </w:rPr>
      </w:r>
      <w:r/>
    </w:p>
    <w:p>
      <w:pPr>
        <w:pStyle w:val="698"/>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sz w:val="22"/>
        </w:rPr>
        <w:tab/>
        <w:t xml:space="preserve">Cette évaluation a été donnée sur la base de l'état des prestations du bien, de sa situation, du marché immobilier et des transactions réalisées à ce jour sur ce secteur et sous réserve</w:t>
      </w:r>
      <w:r>
        <w:rPr>
          <w:sz w:val="22"/>
        </w:rPr>
        <w:t xml:space="preserve"> du résultat favorable des expertises : termites, plomb, amiante, électricité, gaz, diagnostic de performance énergétique (DPE), assainissement. Cet avis de valeur est indicatif et n'a pas de valeur d'expertise et ne peut engager notre responsabilité, n’ét</w:t>
      </w:r>
      <w:r>
        <w:rPr>
          <w:sz w:val="22"/>
        </w:rPr>
        <w:t xml:space="preserve">ant pas en mesure de vérifier les éventuelles servitudes, nuisances, malfaçons ou autres troubles pouvant affecter la propriété et le reflet du marché immobilier actuel pouvant subir des fluctuations. Cet avis de valeur a une durée de validité de six mois.</w:t>
      </w:r>
      <w:r/>
    </w:p>
    <w:p>
      <w:pPr>
        <w:pStyle w:val="698"/>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sz w:val="22"/>
        </w:rPr>
      </w:r>
      <w:r/>
    </w:p>
    <w:p>
      <w:pPr>
        <w:pStyle w:val="698"/>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sz w:val="22"/>
        </w:rPr>
        <w:tab/>
        <w:tab/>
        <w:tab/>
        <w:tab/>
        <w:tab/>
        <w:tab/>
        <w:tab/>
        <w:t xml:space="preserve">Pour servir et valoir ce que de droit,</w:t>
      </w:r>
      <w:r/>
    </w:p>
    <w:p>
      <w:pPr>
        <w:pStyle w:val="698"/>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2"/>
        </w:rPr>
        <w:tab/>
        <w:tab/>
        <w:tab/>
        <w:tab/>
        <w:tab/>
        <w:tab/>
        <w:tab/>
        <w:t xml:space="preserve">Fait à Cahors, le 04 09 24</w:t>
      </w:r>
      <w:r/>
    </w:p>
    <w:p>
      <w:pPr>
        <w:pStyle w:val="698"/>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pStyle w:val="698"/>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pStyle w:val="698"/>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sz w:val="22"/>
        </w:rPr>
        <w:tab/>
        <w:tab/>
        <w:tab/>
        <w:tab/>
        <w:tab/>
        <w:tab/>
        <w:tab/>
        <w:t xml:space="preserve">Alazard Emmanuelle.</w:t>
      </w:r>
      <w:r/>
    </w:p>
    <w:p>
      <w:pPr>
        <w:pStyle w:val="698"/>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sz w:val="22"/>
        </w:rPr>
        <w:tab/>
        <w:tab/>
        <w:tab/>
        <w:tab/>
        <w:tab/>
        <w:tab/>
        <w:tab/>
      </w:r>
      <w:r/>
    </w:p>
    <w:p>
      <w:pPr>
        <w:pStyle w:val="748"/>
        <w:rPr>
          <w:b w:val="0"/>
          <w:sz w:val="22"/>
        </w:rPr>
      </w:pPr>
      <w:r>
        <w:rPr>
          <w:b w:val="0"/>
          <w:sz w:val="22"/>
        </w:rPr>
      </w:r>
      <w:r/>
    </w:p>
    <w:sectPr>
      <w:headerReference w:type="default" r:id="rId9"/>
      <w:footerReference w:type="default" r:id="rId10"/>
      <w:footnotePr/>
      <w:endnotePr/>
      <w:type w:val="nextPage"/>
      <w:pgSz w:w="11906" w:h="16837" w:orient="portrait"/>
      <w:pgMar w:top="1134" w:right="1134" w:bottom="1134" w:left="993" w:header="567" w:footer="567"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Calibri Light">
    <w:panose1 w:val="020F0302020204030203"/>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0" w:type="dxa"/>
        <w:top w:w="0" w:type="dxa"/>
        <w:right w:w="30" w:type="dxa"/>
        <w:bottom w:w="0" w:type="dxa"/>
      </w:tblCellMar>
      <w:tblLook w:val="04A0" w:firstRow="1" w:lastRow="0" w:firstColumn="1" w:lastColumn="0" w:noHBand="0" w:noVBand="1"/>
    </w:tblPr>
    <w:tblGrid>
      <w:gridCol w:w="9630"/>
      <w:gridCol w:w="8"/>
    </w:tblGrid>
    <w:tr>
      <w:trPr/>
      <w:tc>
        <w:tcPr>
          <w:gridSpan w:val="2"/>
          <w:shd w:val="clear" w:color="auto" w:fill="auto"/>
          <w:tcW w:w="9638" w:type="dxa"/>
          <w:vAlign w:val="top"/>
          <w:textDirection w:val="lrTb"/>
          <w:noWrap w:val="false"/>
        </w:tcPr>
        <w:p>
          <w:pPr>
            <w:pStyle w:val="696"/>
            <w:numPr>
              <w:ilvl w:val="0"/>
              <w:numId w:val="0"/>
            </w:numPr>
            <w:ind w:left="0" w:firstLine="0"/>
            <w:jc w:val="center"/>
            <w:tabs>
              <w:tab w:val="clear" w:pos="360" w:leader="none"/>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left" w:pos="9778" w:leader="none"/>
              <w:tab w:val="clear" w:pos="10206" w:leader="none"/>
              <w:tab w:val="clear" w:pos="11340" w:leader="none"/>
              <w:tab w:val="clear" w:pos="12474" w:leader="none"/>
              <w:tab w:val="left" w:pos="15876" w:leader="none"/>
              <w:tab w:val="left" w:pos="17010" w:leader="none"/>
              <w:tab w:val="left" w:pos="18144" w:leader="none"/>
              <w:tab w:val="left" w:pos="19278" w:leader="none"/>
              <w:tab w:val="left" w:pos="20412" w:leader="none"/>
              <w:tab w:val="left" w:pos="21546" w:leader="none"/>
              <w:tab w:val="left" w:pos="22680" w:leader="none"/>
              <w:tab w:val="left" w:pos="23814" w:leader="none"/>
              <w:tab w:val="left" w:pos="24948" w:leader="none"/>
              <w:tab w:val="left" w:pos="26082" w:leader="none"/>
            </w:tabs>
            <w:rPr>
              <w:sz w:val="20"/>
            </w:rPr>
          </w:pPr>
          <w:r>
            <w:rPr>
              <w:sz w:val="20"/>
            </w:rPr>
          </w:r>
          <w:r/>
        </w:p>
      </w:tc>
    </w:tr>
    <w:tr>
      <w:trPr>
        <w:gridAfter w:val="1"/>
      </w:trPr>
      <w:tc>
        <w:tcPr>
          <w:shd w:val="clear" w:color="auto" w:fill="auto"/>
          <w:tcBorders>
            <w:top w:val="single" w:color="auto" w:sz="4" w:space="0"/>
          </w:tcBorders>
          <w:tcW w:w="9630" w:type="dxa"/>
          <w:vAlign w:val="top"/>
          <w:textDirection w:val="lrTb"/>
          <w:noWrap w:val="false"/>
        </w:tcPr>
        <w:p>
          <w:pPr>
            <w:pStyle w:val="696"/>
            <w:numPr>
              <w:ilvl w:val="0"/>
              <w:numId w:val="0"/>
            </w:numPr>
            <w:ind w:left="0" w:firstLine="0"/>
            <w:jc w:val="center"/>
            <w:tabs>
              <w:tab w:val="clear" w:pos="360" w:leader="none"/>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right" w:pos="9551" w:leader="none"/>
              <w:tab w:val="left" w:pos="9778" w:leader="none"/>
              <w:tab w:val="clear" w:pos="10206" w:leader="none"/>
              <w:tab w:val="clear" w:pos="11340" w:leader="none"/>
              <w:tab w:val="clear" w:pos="12474" w:leader="none"/>
              <w:tab w:val="clear" w:pos="13608" w:leader="none"/>
              <w:tab w:val="left" w:pos="15876" w:leader="none"/>
              <w:tab w:val="left" w:pos="17010" w:leader="none"/>
              <w:tab w:val="left" w:pos="18144" w:leader="none"/>
              <w:tab w:val="left" w:pos="19278" w:leader="none"/>
              <w:tab w:val="left" w:pos="20412" w:leader="none"/>
              <w:tab w:val="left" w:pos="21546" w:leader="none"/>
              <w:tab w:val="left" w:pos="22680" w:leader="none"/>
              <w:tab w:val="left" w:pos="23814" w:leader="none"/>
              <w:tab w:val="left" w:pos="24948" w:leader="none"/>
              <w:tab w:val="left" w:pos="26082" w:leader="none"/>
              <w:tab w:val="left" w:pos="27216" w:leader="none"/>
            </w:tabs>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w:t>
            <w:tab/>
            <w:t xml:space="preserve">Page </w:t>
          </w:r>
          <w:r/>
        </w:p>
      </w:tc>
    </w:tr>
  </w:tbl>
  <w:p>
    <w:pPr>
      <w:pStyle w:val="696"/>
      <w:numPr>
        <w:ilvl w:val="0"/>
        <w:numId w:val="0"/>
      </w:numPr>
      <w:ind w:left="0" w:firstLine="0"/>
      <w:jc w:val="center"/>
      <w:tabs>
        <w:tab w:val="clear" w:pos="360" w:leader="none"/>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left" w:pos="9778" w:leader="none"/>
        <w:tab w:val="clear" w:pos="10206" w:leader="none"/>
        <w:tab w:val="clear" w:pos="11340" w:leader="none"/>
        <w:tab w:val="clear" w:pos="12474" w:leader="none"/>
        <w:tab w:val="left" w:pos="15876" w:leader="none"/>
        <w:tab w:val="left" w:pos="17010" w:leader="none"/>
        <w:tab w:val="left" w:pos="18144" w:leader="none"/>
        <w:tab w:val="left" w:pos="19278" w:leader="none"/>
        <w:tab w:val="left" w:pos="20412" w:leader="none"/>
        <w:tab w:val="left" w:pos="21546" w:leader="none"/>
        <w:tab w:val="left" w:pos="22680" w:leader="none"/>
        <w:tab w:val="left" w:pos="23814" w:leader="none"/>
        <w:tab w:val="left" w:pos="24948" w:leader="none"/>
        <w:tab w:val="left" w:pos="26082" w:leader="none"/>
      </w:tabs>
      <w:rPr>
        <w:rFonts w:ascii="Times New Roman" w:hAnsi="Times New Roman" w:eastAsia="Times New Roman"/>
        <w:sz w:val="20"/>
      </w:rPr>
    </w:pPr>
    <w:r>
      <w:rPr>
        <w:rFonts w:ascii="Times New Roman" w:hAnsi="Times New Roman" w:eastAsia="Times New Roman"/>
        <w:sz w:val="20"/>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9639"/>
    </w:tblGrid>
    <w:tr>
      <w:trPr/>
      <w:tc>
        <w:tcPr>
          <w:shd w:val="clear" w:color="auto" w:fill="auto"/>
          <w:tcW w:w="9639" w:type="dxa"/>
          <w:vAlign w:val="top"/>
          <w:textDirection w:val="lrTb"/>
          <w:noWrap w:val="false"/>
        </w:tcPr>
        <w:p>
          <w:pPr>
            <w:pStyle w:val="695"/>
            <w:widowControl/>
            <w:tabs>
              <w:tab w:val="left" w:pos="9778" w:leader="none"/>
              <w:tab w:val="clear" w:pos="10206" w:leader="none"/>
            </w:tabs>
            <w:rPr>
              <w:sz w:val="20"/>
              <w:shd w:val="clear" w:color="auto" w:fill="ffffff"/>
            </w:rPr>
          </w:pPr>
          <w:r>
            <w:rPr>
              <w:sz w:val="20"/>
              <w:shd w:val="clear" w:color="auto" w:fill="ffffff"/>
            </w:rPr>
          </w:r>
          <w:r/>
        </w:p>
        <w:p>
          <w:pPr>
            <w:pStyle w:val="695"/>
            <w:jc w:val="center"/>
            <w:widowControl/>
            <w:tabs>
              <w:tab w:val="left" w:pos="9778" w:leader="none"/>
              <w:tab w:val="clear" w:pos="10206" w:leader="none"/>
            </w:tabs>
            <w:rPr>
              <w:sz w:val="20"/>
              <w:shd w:val="clear" w:color="auto" w:fill="ffffff"/>
            </w:rPr>
          </w:pPr>
          <w:r>
            <mc:AlternateContent>
              <mc:Choice Requires="wpg">
                <w:drawing>
                  <wp:inline xmlns:wp="http://schemas.openxmlformats.org/drawingml/2006/wordprocessingDrawing" distT="0" distB="0" distL="0" distR="0">
                    <wp:extent cx="3205480" cy="827405"/>
                    <wp:effectExtent l="0" t="0" r="0" b="0"/>
                    <wp:docPr id="1" name="_x0000_i0"/>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
                            <a:stretch/>
                          </pic:blipFill>
                          <pic:spPr bwMode="auto">
                            <a:xfrm>
                              <a:off x="0" y="0"/>
                              <a:ext cx="3205480" cy="82740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52.4pt;height:65.1pt;mso-wrap-distance-left:0.0pt;mso-wrap-distance-top:0.0pt;mso-wrap-distance-right:0.0pt;mso-wrap-distance-bottom:0.0pt;" stroked="false">
                    <v:path textboxrect="0,0,0,0"/>
                    <v:imagedata r:id="rId1" o:title=""/>
                  </v:shape>
                </w:pict>
              </mc:Fallback>
            </mc:AlternateContent>
          </w:r>
          <w:r/>
        </w:p>
        <w:p>
          <w:pPr>
            <w:pStyle w:val="695"/>
            <w:widowControl/>
            <w:tabs>
              <w:tab w:val="left" w:pos="9778" w:leader="none"/>
              <w:tab w:val="clear" w:pos="10206" w:leader="none"/>
            </w:tabs>
            <w:rPr>
              <w:sz w:val="20"/>
              <w:shd w:val="clear" w:color="auto" w:fill="ffffff"/>
            </w:rPr>
          </w:pPr>
          <w:r>
            <w:rPr>
              <w:sz w:val="20"/>
              <w:shd w:val="clear" w:color="auto" w:fill="ffffff"/>
            </w:rPr>
          </w:r>
          <w:r/>
        </w:p>
        <w:p>
          <w:pPr>
            <w:pStyle w:val="695"/>
            <w:jc w:val="center"/>
            <w:widowControl/>
            <w:tabs>
              <w:tab w:val="left" w:pos="9778" w:leader="none"/>
              <w:tab w:val="clear" w:pos="10206" w:leader="none"/>
            </w:tabs>
            <w:rPr>
              <w:b/>
              <w:sz w:val="20"/>
              <w:shd w:val="clear" w:color="auto" w:fill="ffffff"/>
            </w:rPr>
          </w:pPr>
          <w:r>
            <w:rPr>
              <w:b/>
              <w:sz w:val="36"/>
              <w:shd w:val="clear" w:color="auto" w:fill="ffffff"/>
            </w:rPr>
            <w:t xml:space="preserve">Immobilier Quercy Transactions</w:t>
          </w:r>
          <w:r/>
        </w:p>
        <w:p>
          <w:pPr>
            <w:pStyle w:val="695"/>
            <w:jc w:val="center"/>
            <w:widowControl/>
            <w:tabs>
              <w:tab w:val="left" w:pos="9778" w:leader="none"/>
              <w:tab w:val="clear" w:pos="10206" w:leader="none"/>
            </w:tabs>
            <w:rPr>
              <w:b/>
              <w:sz w:val="20"/>
              <w:shd w:val="clear" w:color="auto" w:fill="ffffff"/>
            </w:rPr>
          </w:pPr>
          <w:r>
            <w:rPr>
              <w:b/>
              <w:sz w:val="20"/>
              <w:shd w:val="clear" w:color="auto" w:fill="ffffff"/>
            </w:rPr>
            <w:t xml:space="preserve">3, Place Jean-Jacques Chapou (place de la Cathédrale)</w:t>
          </w:r>
          <w:r/>
        </w:p>
        <w:p>
          <w:pPr>
            <w:pStyle w:val="695"/>
            <w:jc w:val="center"/>
            <w:widowControl/>
            <w:tabs>
              <w:tab w:val="left" w:pos="9778" w:leader="none"/>
              <w:tab w:val="clear" w:pos="10206" w:leader="none"/>
            </w:tabs>
            <w:rPr>
              <w:b/>
              <w:sz w:val="20"/>
              <w:shd w:val="clear" w:color="auto" w:fill="ffffff"/>
            </w:rPr>
          </w:pPr>
          <w:r>
            <w:rPr>
              <w:b/>
              <w:sz w:val="20"/>
              <w:shd w:val="clear" w:color="auto" w:fill="ffffff"/>
            </w:rPr>
            <w:t xml:space="preserve">46000 CAHORS</w:t>
          </w:r>
          <w:r/>
        </w:p>
        <w:p>
          <w:pPr>
            <w:pStyle w:val="695"/>
            <w:jc w:val="center"/>
            <w:widowControl/>
            <w:tabs>
              <w:tab w:val="left" w:pos="9778" w:leader="none"/>
              <w:tab w:val="clear" w:pos="10206" w:leader="none"/>
            </w:tabs>
            <w:rPr>
              <w:b/>
              <w:sz w:val="20"/>
              <w:shd w:val="clear" w:color="auto" w:fill="ffffff"/>
            </w:rPr>
          </w:pPr>
          <w:r>
            <w:rPr>
              <w:b/>
              <w:sz w:val="20"/>
              <w:shd w:val="clear" w:color="auto" w:fill="ffffff"/>
            </w:rPr>
            <w:t xml:space="preserve">Tél : 05 65 53 24 76 - contact@quercy-transactions.com</w:t>
          </w:r>
          <w:r/>
        </w:p>
        <w:p>
          <w:pPr>
            <w:pStyle w:val="695"/>
            <w:jc w:val="center"/>
            <w:widowControl/>
            <w:tabs>
              <w:tab w:val="left" w:pos="9778" w:leader="none"/>
              <w:tab w:val="clear" w:pos="10206" w:leader="none"/>
            </w:tabs>
            <w:rPr>
              <w:sz w:val="20"/>
              <w:shd w:val="clear" w:color="auto" w:fill="ffffff"/>
            </w:rPr>
          </w:pPr>
          <w:r>
            <w:rPr>
              <w:b/>
              <w:sz w:val="20"/>
              <w:shd w:val="clear" w:color="auto" w:fill="ffffff"/>
            </w:rPr>
            <w:t xml:space="preserve">www.quercy-transactions.com</w:t>
          </w:r>
          <w:r/>
        </w:p>
      </w:tc>
    </w:tr>
  </w:tbl>
  <w:p>
    <w:pPr>
      <w:pStyle w:val="695"/>
      <w:widowControl/>
      <w:tabs>
        <w:tab w:val="left" w:pos="9778" w:leader="none"/>
        <w:tab w:val="clear" w:pos="10206" w:leader="none"/>
      </w:tabs>
      <w:rPr>
        <w:sz w:val="20"/>
        <w:shd w:val="clear" w:color="auto" w:fill="ffffff"/>
      </w:rPr>
    </w:pPr>
    <w:r>
      <w:rPr>
        <w:sz w:val="20"/>
        <w:shd w:val="clear" w:color="auto" w:fill="ffffff"/>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696"/>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4"/>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bullet"/>
      <w:pStyle w:val="697"/>
      <w:isLgl w:val="false"/>
      <w:suff w:val="tab"/>
      <w:lvlText w:val=""/>
      <w:lvlJc w:val="left"/>
      <w:pPr>
        <w:ind w:left="360" w:hanging="360"/>
        <w:tabs>
          <w:tab w:val="num" w:pos="360" w:leader="none"/>
        </w:tabs>
      </w:pPr>
      <w:rPr>
        <w:rFonts w:hint="default" w:ascii="Symbol" w:hAnsi="Symbol" w:eastAsia="Symbol"/>
        <w:b/>
        <w:i w:val="0"/>
        <w:strike w:val="0"/>
        <w:color w:val="auto"/>
        <w:position w:val="0"/>
        <w:sz w:val="2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695" w:default="1">
    <w:name w:val="[Normal]"/>
    <w:next w:val="695"/>
    <w:qFormat/>
    <w:pPr>
      <w:ind w:left="0" w:right="0" w:firstLine="0"/>
      <w:jc w:val="left"/>
      <w:spacing w:before="0"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b w:val="0"/>
      <w:i w:val="0"/>
      <w:strike w:val="0"/>
      <w:color w:val="auto"/>
      <w:sz w:val="24"/>
      <w:shd w:val="clear" w:color="auto" w:fill="auto"/>
    </w:rPr>
  </w:style>
  <w:style w:type="paragraph" w:styleId="696">
    <w:name w:val="Détail"/>
    <w:basedOn w:val="695"/>
    <w:next w:val="696"/>
    <w:qFormat/>
    <w:pPr>
      <w:numPr>
        <w:ilvl w:val="0"/>
        <w:numId w:val="1"/>
      </w:numPr>
      <w:ind w:left="360" w:hanging="360"/>
      <w:widowControl/>
      <w:tabs>
        <w:tab w:val="left" w:pos="360" w:leader="none"/>
        <w:tab w:val="clear" w:pos="15876" w:leader="none"/>
      </w:tabs>
    </w:pPr>
  </w:style>
  <w:style w:type="paragraph" w:styleId="697">
    <w:name w:val="Type de détail"/>
    <w:basedOn w:val="696"/>
    <w:next w:val="697"/>
    <w:qFormat/>
    <w:pPr>
      <w:numPr>
        <w:ilvl w:val="0"/>
        <w:numId w:val="2"/>
      </w:numPr>
    </w:pPr>
    <w:rPr>
      <w:b/>
      <w:sz w:val="28"/>
    </w:rPr>
  </w:style>
  <w:style w:type="paragraph" w:styleId="698">
    <w:name w:val="Normal"/>
    <w:next w:val="698"/>
    <w:qFormat/>
    <w:pPr>
      <w:ind w:left="1080" w:right="0" w:firstLine="0"/>
      <w:jc w:val="left"/>
      <w:spacing w:before="0" w:after="0" w:line="240" w:lineRule="auto"/>
      <w:widowControl/>
    </w:pPr>
    <w:rPr>
      <w:rFonts w:ascii="Arial" w:hAnsi="Arial" w:eastAsia="Arial"/>
      <w:b w:val="0"/>
      <w:i w:val="0"/>
      <w:strike w:val="0"/>
      <w:color w:val="auto"/>
      <w:sz w:val="20"/>
      <w:shd w:val="clear" w:color="auto" w:fill="auto"/>
    </w:rPr>
  </w:style>
  <w:style w:type="paragraph" w:styleId="699">
    <w:name w:val="Heading 1"/>
    <w:basedOn w:val="698"/>
    <w:next w:val="698"/>
    <w:qFormat/>
    <w:pPr>
      <w:keepLines/>
      <w:keepNext/>
      <w:spacing w:before="480" w:after="200"/>
    </w:pPr>
    <w:rPr>
      <w:sz w:val="40"/>
    </w:rPr>
  </w:style>
  <w:style w:type="paragraph" w:styleId="700">
    <w:name w:val="Heading 2"/>
    <w:basedOn w:val="698"/>
    <w:next w:val="698"/>
    <w:qFormat/>
    <w:pPr>
      <w:keepLines/>
      <w:keepNext/>
      <w:spacing w:before="360" w:after="200"/>
    </w:pPr>
    <w:rPr>
      <w:sz w:val="34"/>
    </w:rPr>
  </w:style>
  <w:style w:type="paragraph" w:styleId="701">
    <w:name w:val="Heading 3"/>
    <w:basedOn w:val="698"/>
    <w:next w:val="698"/>
    <w:qFormat/>
    <w:pPr>
      <w:keepLines/>
      <w:keepNext/>
      <w:spacing w:before="320" w:after="200"/>
    </w:pPr>
    <w:rPr>
      <w:sz w:val="30"/>
    </w:rPr>
  </w:style>
  <w:style w:type="paragraph" w:styleId="702">
    <w:name w:val="Heading 4"/>
    <w:basedOn w:val="698"/>
    <w:next w:val="698"/>
    <w:qFormat/>
    <w:pPr>
      <w:keepLines/>
      <w:keepNext/>
      <w:spacing w:before="320" w:after="200"/>
    </w:pPr>
    <w:rPr>
      <w:b/>
      <w:sz w:val="26"/>
    </w:rPr>
  </w:style>
  <w:style w:type="paragraph" w:styleId="703">
    <w:name w:val="Heading 5"/>
    <w:basedOn w:val="698"/>
    <w:next w:val="698"/>
    <w:qFormat/>
    <w:pPr>
      <w:keepLines/>
      <w:keepNext/>
      <w:spacing w:before="320" w:after="200"/>
    </w:pPr>
    <w:rPr>
      <w:b/>
      <w:sz w:val="24"/>
    </w:rPr>
  </w:style>
  <w:style w:type="paragraph" w:styleId="704">
    <w:name w:val="Heading 6"/>
    <w:basedOn w:val="698"/>
    <w:next w:val="698"/>
    <w:qFormat/>
    <w:pPr>
      <w:keepLines/>
      <w:keepNext/>
      <w:spacing w:before="320" w:after="200"/>
    </w:pPr>
    <w:rPr>
      <w:b/>
      <w:sz w:val="22"/>
    </w:rPr>
  </w:style>
  <w:style w:type="paragraph" w:styleId="705">
    <w:name w:val="Heading 7"/>
    <w:basedOn w:val="698"/>
    <w:next w:val="698"/>
    <w:qFormat/>
    <w:pPr>
      <w:keepLines/>
      <w:keepNext/>
      <w:spacing w:before="320" w:after="200"/>
    </w:pPr>
    <w:rPr>
      <w:b/>
      <w:i/>
      <w:sz w:val="22"/>
    </w:rPr>
  </w:style>
  <w:style w:type="paragraph" w:styleId="706">
    <w:name w:val="Heading 8"/>
    <w:basedOn w:val="698"/>
    <w:next w:val="698"/>
    <w:qFormat/>
    <w:pPr>
      <w:keepLines/>
      <w:keepNext/>
      <w:spacing w:before="320" w:after="200"/>
    </w:pPr>
    <w:rPr>
      <w:i/>
      <w:sz w:val="22"/>
    </w:rPr>
  </w:style>
  <w:style w:type="paragraph" w:styleId="707">
    <w:name w:val="Heading 9"/>
    <w:basedOn w:val="698"/>
    <w:next w:val="698"/>
    <w:qFormat/>
    <w:pPr>
      <w:keepLines/>
      <w:keepNext/>
      <w:spacing w:before="320" w:after="200"/>
    </w:pPr>
    <w:rPr>
      <w:i/>
      <w:sz w:val="21"/>
    </w:rPr>
  </w:style>
  <w:style w:type="paragraph" w:styleId="708">
    <w:name w:val="List Paragraph"/>
    <w:basedOn w:val="698"/>
    <w:next w:val="708"/>
    <w:qFormat/>
    <w:pPr>
      <w:ind w:left="720"/>
    </w:pPr>
  </w:style>
  <w:style w:type="paragraph" w:styleId="709">
    <w:name w:val="Title"/>
    <w:basedOn w:val="698"/>
    <w:next w:val="698"/>
    <w:qFormat/>
    <w:pPr>
      <w:spacing w:before="300" w:after="200"/>
    </w:pPr>
    <w:rPr>
      <w:sz w:val="48"/>
    </w:rPr>
  </w:style>
  <w:style w:type="paragraph" w:styleId="710">
    <w:name w:val="Subtitle"/>
    <w:basedOn w:val="698"/>
    <w:next w:val="698"/>
    <w:qFormat/>
    <w:pPr>
      <w:spacing w:before="200" w:after="200"/>
    </w:pPr>
    <w:rPr>
      <w:sz w:val="24"/>
    </w:rPr>
  </w:style>
  <w:style w:type="paragraph" w:styleId="711">
    <w:name w:val="Quote"/>
    <w:basedOn w:val="698"/>
    <w:next w:val="698"/>
    <w:qFormat/>
    <w:pPr>
      <w:ind w:left="720" w:right="720"/>
    </w:pPr>
    <w:rPr>
      <w:i/>
    </w:rPr>
  </w:style>
  <w:style w:type="paragraph" w:styleId="712">
    <w:name w:val="Intense Quote"/>
    <w:basedOn w:val="698"/>
    <w:next w:val="698"/>
    <w:qFormat/>
    <w:pPr>
      <w:ind w:left="720" w:right="720"/>
      <w:pBdr>
        <w:top w:val="single" w:color="000000" w:sz="4" w:space="5"/>
        <w:left w:val="single" w:color="000000" w:sz="4" w:space="5"/>
        <w:bottom w:val="single" w:color="000000" w:sz="4" w:space="5"/>
        <w:right w:val="single" w:color="000000" w:sz="4" w:space="5"/>
      </w:pBdr>
    </w:pPr>
    <w:rPr>
      <w:i/>
      <w:shd w:val="clear" w:color="auto" w:fill="f2f2f2"/>
    </w:rPr>
  </w:style>
  <w:style w:type="paragraph" w:styleId="713">
    <w:name w:val="Caption"/>
    <w:basedOn w:val="698"/>
    <w:next w:val="698"/>
    <w:qFormat/>
    <w:pPr>
      <w:spacing w:line="276" w:lineRule="auto"/>
    </w:pPr>
    <w:rPr>
      <w:b/>
      <w:color w:val="4f81bd"/>
      <w:sz w:val="18"/>
    </w:rPr>
  </w:style>
  <w:style w:type="paragraph" w:styleId="714">
    <w:name w:val="footnote text"/>
    <w:basedOn w:val="698"/>
    <w:next w:val="714"/>
    <w:qFormat/>
    <w:pPr>
      <w:spacing w:after="40"/>
    </w:pPr>
    <w:rPr>
      <w:sz w:val="18"/>
    </w:rPr>
  </w:style>
  <w:style w:type="paragraph" w:styleId="715">
    <w:name w:val="endnote text"/>
    <w:basedOn w:val="698"/>
    <w:next w:val="715"/>
    <w:qFormat/>
  </w:style>
  <w:style w:type="paragraph" w:styleId="716">
    <w:name w:val="toc 1"/>
    <w:basedOn w:val="698"/>
    <w:next w:val="698"/>
    <w:qFormat/>
    <w:pPr>
      <w:ind w:left="0"/>
      <w:spacing w:after="57"/>
    </w:pPr>
  </w:style>
  <w:style w:type="paragraph" w:styleId="717">
    <w:name w:val="toc 2"/>
    <w:basedOn w:val="698"/>
    <w:next w:val="698"/>
    <w:qFormat/>
    <w:pPr>
      <w:ind w:left="283"/>
      <w:spacing w:after="57"/>
    </w:pPr>
  </w:style>
  <w:style w:type="paragraph" w:styleId="718">
    <w:name w:val="toc 3"/>
    <w:basedOn w:val="698"/>
    <w:next w:val="698"/>
    <w:qFormat/>
    <w:pPr>
      <w:ind w:left="567"/>
      <w:spacing w:after="57"/>
    </w:pPr>
  </w:style>
  <w:style w:type="paragraph" w:styleId="719">
    <w:name w:val="toc 4"/>
    <w:basedOn w:val="698"/>
    <w:next w:val="698"/>
    <w:qFormat/>
    <w:pPr>
      <w:ind w:left="850"/>
      <w:spacing w:after="57"/>
    </w:pPr>
  </w:style>
  <w:style w:type="paragraph" w:styleId="720">
    <w:name w:val="toc 5"/>
    <w:basedOn w:val="698"/>
    <w:next w:val="698"/>
    <w:qFormat/>
    <w:pPr>
      <w:ind w:left="1134"/>
      <w:spacing w:after="57"/>
    </w:pPr>
  </w:style>
  <w:style w:type="paragraph" w:styleId="721">
    <w:name w:val="toc 6"/>
    <w:basedOn w:val="698"/>
    <w:next w:val="698"/>
    <w:qFormat/>
    <w:pPr>
      <w:ind w:left="1417"/>
      <w:spacing w:after="57"/>
    </w:pPr>
  </w:style>
  <w:style w:type="paragraph" w:styleId="722">
    <w:name w:val="toc 7"/>
    <w:basedOn w:val="698"/>
    <w:next w:val="698"/>
    <w:qFormat/>
    <w:pPr>
      <w:ind w:left="1701"/>
      <w:spacing w:after="57"/>
    </w:pPr>
  </w:style>
  <w:style w:type="paragraph" w:styleId="723">
    <w:name w:val="toc 8"/>
    <w:basedOn w:val="698"/>
    <w:next w:val="698"/>
    <w:qFormat/>
    <w:pPr>
      <w:ind w:left="1984"/>
      <w:spacing w:after="57"/>
    </w:pPr>
  </w:style>
  <w:style w:type="paragraph" w:styleId="724">
    <w:name w:val="toc 9"/>
    <w:basedOn w:val="698"/>
    <w:next w:val="698"/>
    <w:qFormat/>
    <w:pPr>
      <w:ind w:left="2268"/>
      <w:spacing w:after="57"/>
    </w:pPr>
  </w:style>
  <w:style w:type="paragraph" w:styleId="725">
    <w:name w:val="table of figures"/>
    <w:basedOn w:val="698"/>
    <w:next w:val="698"/>
    <w:qFormat/>
  </w:style>
  <w:style w:type="paragraph" w:styleId="726">
    <w:name w:val="historique"/>
    <w:basedOn w:val="698"/>
    <w:next w:val="726"/>
    <w:qFormat/>
    <w:rPr>
      <w:sz w:val="16"/>
    </w:rPr>
  </w:style>
  <w:style w:type="paragraph" w:styleId="727">
    <w:name w:val="Header"/>
    <w:basedOn w:val="698"/>
    <w:next w:val="727"/>
    <w:qFormat/>
    <w:pPr>
      <w:tabs>
        <w:tab w:val="center" w:pos="4536" w:leader="none"/>
        <w:tab w:val="right" w:pos="9072" w:leader="none"/>
      </w:tabs>
    </w:pPr>
  </w:style>
  <w:style w:type="paragraph" w:styleId="728">
    <w:name w:val="Footer"/>
    <w:basedOn w:val="698"/>
    <w:next w:val="728"/>
    <w:qFormat/>
    <w:pPr>
      <w:tabs>
        <w:tab w:val="center" w:pos="4536" w:leader="none"/>
        <w:tab w:val="right" w:pos="9072" w:leader="none"/>
      </w:tabs>
    </w:pPr>
  </w:style>
  <w:style w:type="paragraph" w:styleId="729">
    <w:name w:val="List Paragraph PHPDOCX"/>
    <w:basedOn w:val="698"/>
    <w:next w:val="729"/>
    <w:qFormat/>
    <w:pPr>
      <w:ind w:left="720"/>
    </w:pPr>
  </w:style>
  <w:style w:type="paragraph" w:styleId="730">
    <w:name w:val="Title PHPDOCX"/>
    <w:basedOn w:val="698"/>
    <w:next w:val="698"/>
    <w:qFormat/>
    <w:pPr>
      <w:spacing w:after="300"/>
      <w:pBdr>
        <w:top w:val="none" w:color="000000" w:sz="4" w:space="0"/>
        <w:left w:val="none" w:color="000000" w:sz="4" w:space="0"/>
        <w:bottom w:val="single" w:color="000000" w:sz="8" w:space="4"/>
        <w:right w:val="none" w:color="000000" w:sz="4" w:space="0"/>
      </w:pBdr>
    </w:pPr>
    <w:rPr>
      <w:rFonts w:ascii="Calibri Light" w:hAnsi="Calibri Light" w:eastAsia="Calibri Light"/>
      <w:color w:val="17365d"/>
      <w:sz w:val="52"/>
    </w:rPr>
  </w:style>
  <w:style w:type="paragraph" w:styleId="731">
    <w:name w:val="Subtitle PHPDOCX"/>
    <w:basedOn w:val="698"/>
    <w:next w:val="698"/>
    <w:qFormat/>
    <w:rPr>
      <w:rFonts w:ascii="Calibri Light" w:hAnsi="Calibri Light" w:eastAsia="Calibri Light"/>
      <w:i/>
      <w:color w:val="4f81bd"/>
      <w:sz w:val="24"/>
    </w:rPr>
  </w:style>
  <w:style w:type="paragraph" w:styleId="732">
    <w:name w:val="annotation text PHPDOCX"/>
    <w:basedOn w:val="698"/>
    <w:next w:val="732"/>
    <w:qFormat/>
  </w:style>
  <w:style w:type="paragraph" w:styleId="733">
    <w:name w:val="annotation subject PHPDOCX"/>
    <w:basedOn w:val="732"/>
    <w:next w:val="732"/>
    <w:qFormat/>
    <w:rPr>
      <w:b/>
    </w:rPr>
  </w:style>
  <w:style w:type="paragraph" w:styleId="734">
    <w:name w:val="Balloon Text PHPDOCX"/>
    <w:basedOn w:val="698"/>
    <w:next w:val="734"/>
    <w:qFormat/>
    <w:rPr>
      <w:rFonts w:ascii="Tahoma" w:hAnsi="Tahoma" w:eastAsia="Tahoma"/>
      <w:sz w:val="16"/>
    </w:rPr>
  </w:style>
  <w:style w:type="paragraph" w:styleId="735">
    <w:name w:val="footnote Text PHPDOCX"/>
    <w:basedOn w:val="698"/>
    <w:next w:val="735"/>
    <w:qFormat/>
  </w:style>
  <w:style w:type="paragraph" w:styleId="736">
    <w:name w:val="endnote Text PHPDOCX"/>
    <w:basedOn w:val="698"/>
    <w:next w:val="736"/>
    <w:qFormat/>
  </w:style>
  <w:style w:type="character" w:styleId="737">
    <w:name w:val="Default Paragraph Font PHPDOCX"/>
    <w:qFormat/>
  </w:style>
  <w:style w:type="character" w:styleId="738">
    <w:name w:val="Title Car PHPDOCX"/>
    <w:basedOn w:val="737"/>
    <w:qFormat/>
    <w:rPr>
      <w:rFonts w:ascii="Calibri Light" w:hAnsi="Calibri Light" w:eastAsia="Calibri Light"/>
      <w:color w:val="17365d"/>
      <w:sz w:val="52"/>
    </w:rPr>
  </w:style>
  <w:style w:type="character" w:styleId="739">
    <w:name w:val="Subtitle Car PHPDOCX"/>
    <w:basedOn w:val="737"/>
    <w:qFormat/>
    <w:rPr>
      <w:rFonts w:ascii="Calibri Light" w:hAnsi="Calibri Light" w:eastAsia="Calibri Light"/>
      <w:i/>
      <w:color w:val="4f81bd"/>
      <w:sz w:val="24"/>
    </w:rPr>
  </w:style>
  <w:style w:type="character" w:styleId="740">
    <w:name w:val="annotation reference PHPDOCX"/>
    <w:basedOn w:val="737"/>
    <w:qFormat/>
    <w:rPr>
      <w:sz w:val="16"/>
    </w:rPr>
  </w:style>
  <w:style w:type="character" w:styleId="741">
    <w:name w:val="Comment Text Char PHPDOCX"/>
    <w:basedOn w:val="737"/>
    <w:qFormat/>
    <w:rPr>
      <w:sz w:val="20"/>
    </w:rPr>
  </w:style>
  <w:style w:type="character" w:styleId="742">
    <w:name w:val="Comment Subject Char PHPDOCX"/>
    <w:basedOn w:val="741"/>
    <w:qFormat/>
    <w:rPr>
      <w:b/>
      <w:sz w:val="20"/>
    </w:rPr>
  </w:style>
  <w:style w:type="character" w:styleId="743">
    <w:name w:val="Balloon Text Char PHPDOCX"/>
    <w:basedOn w:val="737"/>
    <w:qFormat/>
    <w:rPr>
      <w:rFonts w:ascii="Tahoma" w:hAnsi="Tahoma" w:eastAsia="Tahoma"/>
      <w:sz w:val="16"/>
    </w:rPr>
  </w:style>
  <w:style w:type="character" w:styleId="744">
    <w:name w:val="footnote Text Car PHPDOCX"/>
    <w:basedOn w:val="737"/>
    <w:qFormat/>
    <w:rPr>
      <w:sz w:val="20"/>
    </w:rPr>
  </w:style>
  <w:style w:type="character" w:styleId="745">
    <w:name w:val="footnote Reference PHPDOCX"/>
    <w:basedOn w:val="737"/>
    <w:qFormat/>
    <w:rPr>
      <w:position w:val="6"/>
    </w:rPr>
  </w:style>
  <w:style w:type="character" w:styleId="746">
    <w:name w:val="endnote Text Car PHPDOCX"/>
    <w:basedOn w:val="737"/>
    <w:qFormat/>
    <w:rPr>
      <w:sz w:val="20"/>
    </w:rPr>
  </w:style>
  <w:style w:type="character" w:styleId="747">
    <w:name w:val="endnote Reference PHPDOCX"/>
    <w:basedOn w:val="737"/>
    <w:qFormat/>
    <w:rPr>
      <w:position w:val="6"/>
    </w:rPr>
  </w:style>
  <w:style w:type="paragraph" w:styleId="748">
    <w:name w:val="Titre1"/>
    <w:basedOn w:val="695"/>
    <w:next w:val="748"/>
    <w:qFormat/>
    <w:pPr>
      <w:widowControl/>
    </w:pPr>
    <w:rPr>
      <w:b/>
      <w:sz w:val="28"/>
    </w:rPr>
  </w:style>
  <w:style w:type="character" w:styleId="749" w:default="1">
    <w:name w:val="Default Paragraph Font"/>
    <w:qFormat/>
  </w:style>
  <w:style w:type="character" w:styleId="750">
    <w:name w:val="Heading 1 Char"/>
    <w:basedOn w:val="749"/>
    <w:qFormat/>
    <w:rPr>
      <w:rFonts w:ascii="Arial" w:hAnsi="Arial" w:eastAsia="Arial"/>
      <w:sz w:val="40"/>
    </w:rPr>
  </w:style>
  <w:style w:type="character" w:styleId="751">
    <w:name w:val="Heading 2 Char"/>
    <w:basedOn w:val="749"/>
    <w:qFormat/>
    <w:rPr>
      <w:rFonts w:ascii="Arial" w:hAnsi="Arial" w:eastAsia="Arial"/>
      <w:sz w:val="34"/>
    </w:rPr>
  </w:style>
  <w:style w:type="character" w:styleId="752">
    <w:name w:val="Heading 3 Char"/>
    <w:basedOn w:val="749"/>
    <w:qFormat/>
    <w:rPr>
      <w:rFonts w:ascii="Arial" w:hAnsi="Arial" w:eastAsia="Arial"/>
      <w:sz w:val="30"/>
    </w:rPr>
  </w:style>
  <w:style w:type="character" w:styleId="753">
    <w:name w:val="Heading 4 Char"/>
    <w:basedOn w:val="749"/>
    <w:qFormat/>
    <w:rPr>
      <w:rFonts w:ascii="Arial" w:hAnsi="Arial" w:eastAsia="Arial"/>
      <w:b/>
      <w:sz w:val="26"/>
    </w:rPr>
  </w:style>
  <w:style w:type="character" w:styleId="754">
    <w:name w:val="Heading 5 Char"/>
    <w:basedOn w:val="749"/>
    <w:qFormat/>
    <w:rPr>
      <w:rFonts w:ascii="Arial" w:hAnsi="Arial" w:eastAsia="Arial"/>
      <w:b/>
      <w:sz w:val="24"/>
    </w:rPr>
  </w:style>
  <w:style w:type="character" w:styleId="755">
    <w:name w:val="Heading 6 Char"/>
    <w:basedOn w:val="749"/>
    <w:qFormat/>
    <w:rPr>
      <w:rFonts w:ascii="Arial" w:hAnsi="Arial" w:eastAsia="Arial"/>
      <w:b/>
      <w:sz w:val="22"/>
    </w:rPr>
  </w:style>
  <w:style w:type="character" w:styleId="756">
    <w:name w:val="Heading 7 Char"/>
    <w:basedOn w:val="749"/>
    <w:qFormat/>
    <w:rPr>
      <w:rFonts w:ascii="Arial" w:hAnsi="Arial" w:eastAsia="Arial"/>
      <w:b/>
      <w:i/>
      <w:sz w:val="22"/>
    </w:rPr>
  </w:style>
  <w:style w:type="character" w:styleId="757">
    <w:name w:val="Heading 8 Char"/>
    <w:basedOn w:val="749"/>
    <w:qFormat/>
    <w:rPr>
      <w:rFonts w:ascii="Arial" w:hAnsi="Arial" w:eastAsia="Arial"/>
      <w:i/>
      <w:sz w:val="22"/>
    </w:rPr>
  </w:style>
  <w:style w:type="character" w:styleId="758">
    <w:name w:val="Heading 9 Char"/>
    <w:basedOn w:val="749"/>
    <w:qFormat/>
    <w:rPr>
      <w:rFonts w:ascii="Arial" w:hAnsi="Arial" w:eastAsia="Arial"/>
      <w:i/>
      <w:sz w:val="21"/>
    </w:rPr>
  </w:style>
  <w:style w:type="character" w:styleId="759">
    <w:name w:val="Title Char"/>
    <w:basedOn w:val="749"/>
    <w:qFormat/>
    <w:rPr>
      <w:sz w:val="48"/>
    </w:rPr>
  </w:style>
  <w:style w:type="character" w:styleId="760">
    <w:name w:val="Subtitle Char"/>
    <w:basedOn w:val="749"/>
    <w:qFormat/>
    <w:rPr>
      <w:sz w:val="24"/>
    </w:rPr>
  </w:style>
  <w:style w:type="character" w:styleId="761">
    <w:name w:val="Header Char"/>
    <w:basedOn w:val="749"/>
    <w:qFormat/>
  </w:style>
  <w:style w:type="character" w:styleId="762">
    <w:name w:val="Footer Char"/>
    <w:basedOn w:val="749"/>
    <w:qFormat/>
  </w:style>
  <w:style w:type="character" w:styleId="763">
    <w:name w:val="footnote reference"/>
    <w:basedOn w:val="749"/>
    <w:qFormat/>
    <w:rPr>
      <w:position w:val="6"/>
    </w:rPr>
  </w:style>
  <w:style w:type="character" w:styleId="764">
    <w:name w:val="endnote reference"/>
    <w:basedOn w:val="749"/>
    <w:qFormat/>
    <w:rPr>
      <w:position w:val="6"/>
    </w:rPr>
  </w:style>
  <w:style w:type="character" w:styleId="765">
    <w:name w:val="En-tête Car"/>
    <w:basedOn w:val="749"/>
    <w:qFormat/>
    <w:rPr>
      <w:sz w:val="20"/>
    </w:rPr>
  </w:style>
  <w:style w:type="character" w:styleId="766">
    <w:name w:val="Pied de page Car"/>
    <w:basedOn w:val="749"/>
    <w:qFormat/>
    <w:rPr>
      <w:sz w:val="20"/>
    </w:rPr>
  </w:style>
  <w:style w:type="paragraph" w:styleId="767">
    <w:name w:val="No Spacing"/>
    <w:basedOn w:val="695"/>
    <w:next w:val="767"/>
    <w:qFormat/>
    <w:pPr>
      <w:widowControl/>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768">
    <w:name w:val="Quote Char"/>
    <w:qFormat/>
    <w:rPr>
      <w:i/>
    </w:rPr>
  </w:style>
  <w:style w:type="character" w:styleId="769">
    <w:name w:val="Intense Quote Char"/>
    <w:qFormat/>
    <w:rPr>
      <w:i/>
    </w:rPr>
  </w:style>
  <w:style w:type="character" w:styleId="770">
    <w:name w:val="Caption Char"/>
    <w:qFormat/>
  </w:style>
  <w:style w:type="character" w:styleId="771">
    <w:name w:val="Hyperlink"/>
    <w:qFormat/>
    <w:rPr>
      <w:color w:val="0000ff"/>
      <w:u w:val="single"/>
    </w:rPr>
  </w:style>
  <w:style w:type="character" w:styleId="772">
    <w:name w:val="Footnote Text Char"/>
    <w:qFormat/>
    <w:rPr>
      <w:sz w:val="18"/>
    </w:rPr>
  </w:style>
  <w:style w:type="character" w:styleId="773">
    <w:name w:val="Endnote Text Char"/>
    <w:qFormat/>
    <w:rPr>
      <w:sz w:val="20"/>
    </w:rPr>
  </w:style>
  <w:style w:type="paragraph" w:styleId="774">
    <w:name w:val="TOC Heading"/>
    <w:basedOn w:val="695"/>
    <w:next w:val="774"/>
    <w:qFormat/>
    <w:pPr>
      <w:spacing w:after="160" w:line="259" w:lineRule="auto"/>
      <w:widowControl/>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75">
    <w:name w:val="Alinéa"/>
    <w:basedOn w:val="695"/>
    <w:next w:val="775"/>
    <w:qFormat/>
    <w:pPr>
      <w:ind w:left="1134" w:right="1134"/>
      <w:jc w:val="both"/>
      <w:spacing w:before="240" w:line="360" w:lineRule="auto"/>
      <w:widowControl/>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color w:val="000000"/>
      <w:sz w:val="28"/>
    </w:rPr>
  </w:style>
  <w:style w:type="numbering" w:styleId="1096" w:default="1">
    <w:name w:val="No List"/>
    <w:uiPriority w:val="99"/>
    <w:semiHidden/>
    <w:unhideWhenUsed/>
  </w:style>
  <w:style w:type="table" w:styleId="109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alazaem</cp:lastModifiedBy>
  <cp:revision>1</cp:revision>
  <dcterms:modified xsi:type="dcterms:W3CDTF">2024-09-19T07:39:29Z</dcterms:modified>
</cp:coreProperties>
</file>