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CA6939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1 529 €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11,30 m²</w:t>
                  </w:r>
                </w:p>
                <w:p>
                  <w:pPr>
                    <w:pStyle w:val="Détail"/>
                  </w:pPr>
                  <w:r>
                    <w:t xml:space="preserve">Couloir 11,20 m²</w:t>
                  </w:r>
                </w:p>
                <w:p>
                  <w:pPr>
                    <w:pStyle w:val="Détail"/>
                  </w:pPr>
                  <w:r>
                    <w:t xml:space="preserve">Cuisine 22,90 m²</w:t>
                  </w:r>
                </w:p>
                <w:p>
                  <w:pPr>
                    <w:pStyle w:val="Détail"/>
                  </w:pPr>
                  <w:r>
                    <w:t xml:space="preserve">Salle de bains WC /6,4 m²</w:t>
                  </w:r>
                </w:p>
                <w:p>
                  <w:pPr>
                    <w:pStyle w:val="Détail"/>
                  </w:pPr>
                  <w:r>
                    <w:t xml:space="preserve">Salon 31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 chaudière 0,3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32,00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07/05/82024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chaudière qui à 15 ans et un cumulus pour l'eau qui date de juin 2024 - Les radiateurs datent de Octobre 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avec volets en bois battant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 syndic de copropriété Foncia</w:t>
                  </w:r>
                </w:p>
                <w:p>
                  <w:pPr>
                    <w:pStyle w:val="Détail"/>
                  </w:pPr>
                  <w:r>
                    <w:t xml:space="preserve">Nbre de lots 16,00 -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960,00 €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30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