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 atteste par la présente avoir visité le 06 août 2024, une Maison en pierre  sise 20 chemin du passeur  46090 LAMAGDELAINE appartenant à l'indivision Biraud représentée par Mme Biraud Brigitte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Dans le hameau de Savannac , avec jolie terrasse de 9 m² au 1er étage avec vue sur la rivière.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Rdc bas : cave trés saine de 66m²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Rdc haut : pièce à vivre avec cuisine ouverte, deux chambres , sdb , wc ,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Etage: mezzanine d'accès , chambre , grenier aménageable.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Double vitrage partout.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Salle de bains refaite en 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Cuisine équipée.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Trés bon état général. Charpente , toiture bon état , électricité refaite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principal avec poele à bois qui chauffe l'ensemble , convecteurs d'appoint.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B1477 pour 180m²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Jardin:</w:t>
      </w:r>
    </w:p>
    <w:p>
      <w:pPr>
        <w:pStyle w:val="Détail"/>
        <w:numPr>
          <w:ilvl w:val="0"/>
          <w:numId w:val="4"/>
        </w:numPr>
      </w:pPr>
      <w:r>
        <w:t xml:space="preserve">Cave 66m²</w:t>
      </w:r>
    </w:p>
    <w:p>
      <w:pPr>
        <w:pStyle w:val="Type de détail"/>
        <w:numPr>
          <w:ilvl w:val="0"/>
          <w:numId w:val="3"/>
        </w:numPr>
      </w:pPr>
      <w:r>
        <w:t xml:space="preserve">Rez de chaussée:</w:t>
      </w:r>
    </w:p>
    <w:p>
      <w:pPr>
        <w:pStyle w:val="Détail"/>
        <w:numPr>
          <w:ilvl w:val="0"/>
          <w:numId w:val="4"/>
        </w:numPr>
      </w:pPr>
      <w:r>
        <w:t xml:space="preserve">2 Chambres 10/12m²</w:t>
      </w:r>
    </w:p>
    <w:p>
      <w:pPr>
        <w:pStyle w:val="Détail"/>
        <w:numPr>
          <w:ilvl w:val="0"/>
          <w:numId w:val="4"/>
        </w:numPr>
      </w:pPr>
      <w:r>
        <w:t xml:space="preserve">Couloir 5,39m²</w:t>
      </w:r>
    </w:p>
    <w:p>
      <w:pPr>
        <w:pStyle w:val="Détail"/>
        <w:numPr>
          <w:ilvl w:val="0"/>
          <w:numId w:val="4"/>
        </w:numPr>
      </w:pPr>
      <w:r>
        <w:t xml:space="preserve">Séjour 52m² avec cuisine</w:t>
      </w:r>
    </w:p>
    <w:p>
      <w:pPr>
        <w:pStyle w:val="Détail"/>
        <w:numPr>
          <w:ilvl w:val="0"/>
          <w:numId w:val="4"/>
        </w:numPr>
      </w:pPr>
      <w:r>
        <w:t xml:space="preserve">Salle de bains 6,50m²</w:t>
      </w:r>
    </w:p>
    <w:p>
      <w:pPr>
        <w:pStyle w:val="Détail"/>
        <w:numPr>
          <w:ilvl w:val="0"/>
          <w:numId w:val="4"/>
        </w:numPr>
      </w:pPr>
      <w:r>
        <w:t xml:space="preserve">Terrasse 9m²</w:t>
      </w:r>
    </w:p>
    <w:p>
      <w:pPr>
        <w:pStyle w:val="Détail"/>
        <w:numPr>
          <w:ilvl w:val="0"/>
          <w:numId w:val="4"/>
        </w:numPr>
      </w:pPr>
      <w:r>
        <w:t xml:space="preserve">WC 2,20m²</w:t>
      </w:r>
    </w:p>
    <w:p>
      <w:pPr>
        <w:pStyle w:val="Type de détail"/>
        <w:numPr>
          <w:ilvl w:val="0"/>
          <w:numId w:val="3"/>
        </w:numPr>
      </w:pPr>
      <w:r>
        <w:t xml:space="preserve">1er étage:</w:t>
      </w:r>
    </w:p>
    <w:p>
      <w:pPr>
        <w:pStyle w:val="Détail"/>
        <w:numPr>
          <w:ilvl w:val="0"/>
          <w:numId w:val="4"/>
        </w:numPr>
      </w:pPr>
      <w:r>
        <w:t xml:space="preserve">Chambre 18m²</w:t>
      </w:r>
    </w:p>
    <w:p>
      <w:pPr>
        <w:pStyle w:val="Détail"/>
        <w:numPr>
          <w:ilvl w:val="0"/>
          <w:numId w:val="4"/>
        </w:numPr>
      </w:pPr>
      <w:r>
        <w:t xml:space="preserve">Grenier 18m²</w:t>
      </w:r>
    </w:p>
    <w:p>
      <w:pPr>
        <w:pStyle w:val="Détail"/>
        <w:numPr>
          <w:ilvl w:val="0"/>
          <w:numId w:val="4"/>
        </w:numPr>
      </w:pPr>
      <w:r>
        <w:t xml:space="preserve">Mezzanine 6,30m²</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bois poele</w:t>
      </w:r>
    </w:p>
    <w:p>
      <w:pPr>
        <w:pStyle w:val="Détail"/>
        <w:numPr>
          <w:ilvl w:val="0"/>
          <w:numId w:val="4"/>
        </w:numPr>
      </w:pPr>
      <w:r>
        <w:t xml:space="preserve">Electrique convecteurs</w:t>
      </w:r>
    </w:p>
    <w:p>
      <w:pPr>
        <w:pStyle w:val="Type de détail"/>
        <w:numPr>
          <w:ilvl w:val="0"/>
          <w:numId w:val="3"/>
        </w:numPr>
      </w:pPr>
      <w:r>
        <w:t xml:space="preserve">Equipements de Cuisine:</w:t>
      </w:r>
    </w:p>
    <w:p>
      <w:pPr>
        <w:pStyle w:val="Détail"/>
        <w:numPr>
          <w:ilvl w:val="0"/>
          <w:numId w:val="4"/>
        </w:numPr>
      </w:pPr>
      <w:r>
        <w:t xml:space="preserve">Cuisinière au gaz</w:t>
      </w:r>
    </w:p>
    <w:p>
      <w:pPr>
        <w:pStyle w:val="Détail"/>
        <w:numPr>
          <w:ilvl w:val="0"/>
          <w:numId w:val="4"/>
        </w:numPr>
      </w:pPr>
      <w:r>
        <w:t xml:space="preserve">Four</w:t>
      </w:r>
    </w:p>
    <w:p>
      <w:pPr>
        <w:pStyle w:val="Détail"/>
        <w:numPr>
          <w:ilvl w:val="0"/>
          <w:numId w:val="4"/>
        </w:numPr>
      </w:pPr>
      <w:r>
        <w:t xml:space="preserve">Hotte aspirante</w:t>
      </w:r>
    </w:p>
    <w:p>
      <w:pPr>
        <w:pStyle w:val="Type de détail"/>
        <w:numPr>
          <w:ilvl w:val="0"/>
          <w:numId w:val="3"/>
        </w:numPr>
      </w:pPr>
      <w:r>
        <w:t xml:space="preserve">Equipements divers:</w:t>
      </w:r>
    </w:p>
    <w:p>
      <w:pPr>
        <w:pStyle w:val="Détail"/>
        <w:numPr>
          <w:ilvl w:val="0"/>
          <w:numId w:val="4"/>
        </w:numPr>
      </w:pPr>
      <w:r>
        <w:t xml:space="preserve">Tout à l'égout</w:t>
      </w:r>
    </w:p>
    <w:p>
      <w:pPr>
        <w:pStyle w:val="Type de détail"/>
        <w:numPr>
          <w:ilvl w:val="0"/>
          <w:numId w:val="3"/>
        </w:numPr>
      </w:pPr>
      <w:r>
        <w:t xml:space="preserve">Fenêtres:</w:t>
      </w:r>
    </w:p>
    <w:p>
      <w:pPr>
        <w:pStyle w:val="Détail"/>
        <w:numPr>
          <w:ilvl w:val="0"/>
          <w:numId w:val="4"/>
        </w:numPr>
      </w:pPr>
      <w:r>
        <w:t xml:space="preserve">Bois</w:t>
      </w:r>
    </w:p>
    <w:p>
      <w:pPr>
        <w:pStyle w:val="Détail"/>
        <w:numPr>
          <w:ilvl w:val="0"/>
          <w:numId w:val="4"/>
        </w:numPr>
      </w:pPr>
      <w:r>
        <w:t xml:space="preserve">Double vitrage</w:t>
      </w:r>
    </w:p>
    <w:p>
      <w:pPr>
        <w:pStyle w:val="Type de détail"/>
        <w:numPr>
          <w:ilvl w:val="0"/>
          <w:numId w:val="3"/>
        </w:numPr>
      </w:pPr>
      <w:r>
        <w:t xml:space="preserve">Services:</w:t>
      </w:r>
    </w:p>
    <w:p>
      <w:pPr>
        <w:pStyle w:val="Détail"/>
        <w:numPr>
          <w:ilvl w:val="0"/>
          <w:numId w:val="4"/>
        </w:numPr>
      </w:pPr>
      <w:r>
        <w:t xml:space="preserve">Plain-pied</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130 000 €</w:t>
      </w:r>
      <w:r>
        <w:rPr>
          <w:sz w:val="24"/>
        </w:rPr>
        <w:t xml:space="preserve"> (</w:t>
      </w:r>
      <w:r>
        <w:rPr>
          <w:b w:val="on"/>
          <w:sz w:val="24"/>
        </w:rPr>
        <w:t xml:space="preserve">CENT TRENTE MILLE EUROS</w:t>
      </w:r>
      <w:r>
        <w:rPr>
          <w:sz w:val="24"/>
        </w:rPr>
        <w:t xml:space="preserve">) et </w:t>
      </w:r>
      <w:r>
        <w:rPr>
          <w:b w:val="on"/>
          <w:sz w:val="24"/>
        </w:rPr>
        <w:t xml:space="preserve">130 000 €</w:t>
      </w:r>
      <w:r>
        <w:rPr>
          <w:sz w:val="24"/>
        </w:rPr>
        <w:t xml:space="preserve"> (</w:t>
      </w:r>
      <w:r>
        <w:rPr>
          <w:b w:val="on"/>
          <w:sz w:val="24"/>
        </w:rPr>
        <w:t xml:space="preserve">CENT TRENTE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août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