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agent commercial immobilier de la Sarl Quercy Transactions, 3, place Jean-Jacques Chapou, 46000 CAHORS , atteste par la présente avoir visité le 29 Juilliet 2024, une maison contemporaine sis 765 route du sud 24250 GROLEJAC appartenant à I'indivivision Crouzel S/C UDAF  Anne-Marie.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Maison entre Gourdon et Sarlat d ' environ 155 m2 qui se situe dans un environnement calme.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Au rez de chaussée:</w:t>
      </w:r>
      <w:r>
        <w:t xml:space="preserve"> se trouve un appartement de 52.33 m2 environ avec une entrée independante, une cuisine, une salle à manger, une chambre, une salle d' eau, donnant sur le jardin d' environ de 3100m2.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A l' étage</w:t>
      </w:r>
      <w:r>
        <w:t xml:space="preserve">: cuisine, salle à manger, salle d' eau, trois chambres.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br w:type="textWrapping"/>
      </w:r>
      <w:r>
        <w:t xml:space="preserve">Proche de commerces, école et d’une crèche.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r>
        <w:t xml:space="preserve">Parcelle n°A 851 Total de  3 100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u w:val="single"/>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u w:val="single"/>
        </w:rPr>
        <w:t xml:space="preserve">Rez de chaussée</w:t>
      </w:r>
      <w:r>
        <w:rPr>
          <w:sz w:val="24"/>
        </w:rPr>
        <w:t xml:space="preserve">:Chambre 13,29m2,cuisine 12,50m2, garage48,89m², séjour21,32m2, salle d'eau 5,31m2 avec wc dans la salle de bain.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u w:val="single"/>
        </w:rPr>
        <w:t xml:space="preserve">1er étage</w:t>
      </w:r>
      <w:r>
        <w:rPr>
          <w:sz w:val="24"/>
          <w:u w:val="single"/>
        </w:rPr>
        <w:t xml:space="preserve">:</w:t>
      </w:r>
      <w:r>
        <w:rPr>
          <w:sz w:val="24"/>
        </w:rPr>
        <w:t xml:space="preserve">3 Chambres 10,79m2, 12,20m2,9,35m2,  couloir 4,54m2 , cuisine 27,79 m2, hall d'entrée 5,25m2 ,salle d'eau 4,65m2, séjour 27,62 m2, terrasse 10 m2 couverte, wc 1,10m2.</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0"/>
        </w:numPr>
        <w:ind w:left="0" w:firstLine="0"/>
        <w:rPr>
          <w:b w:val="off"/>
          <w:sz w:val="24"/>
        </w:rPr>
      </w:pPr>
      <w:r>
        <w:rPr>
          <w:sz w:val="24"/>
          <w:u w:val="single"/>
        </w:rPr>
        <w:t xml:space="preserve">Dépendances</w:t>
      </w:r>
      <w:r>
        <w:rPr>
          <w:b w:val="off"/>
          <w:sz w:val="24"/>
          <w:u w:val="single"/>
        </w:rPr>
        <w:t xml:space="preserve">:</w:t>
      </w:r>
      <w:r>
        <w:rPr>
          <w:b w:val="off"/>
          <w:sz w:val="24"/>
        </w:rPr>
        <w:t xml:space="preserve">Appentis accolé à la maison.</w:t>
      </w:r>
    </w:p>
    <w:p>
      <w:pPr>
        <w:pStyle w:val="Type de détail"/>
        <w:numPr>
          <w:ilvl w:val="0"/>
          <w:numId w:val="0"/>
        </w:numPr>
        <w:ind w:left="0" w:firstLine="0"/>
      </w:pPr>
    </w:p>
    <w:p>
      <w:pPr>
        <w:pStyle w:val="Type de détail"/>
        <w:numPr>
          <w:ilvl w:val="0"/>
          <w:numId w:val="0"/>
        </w:numPr>
        <w:ind w:left="0" w:firstLine="0"/>
        <w:rPr>
          <w:sz w:val="24"/>
          <w:u w:val="single"/>
        </w:rPr>
      </w:pPr>
    </w:p>
    <w:p>
      <w:pPr>
        <w:pStyle w:val="Type de détail"/>
        <w:numPr>
          <w:ilvl w:val="0"/>
          <w:numId w:val="0"/>
        </w:numPr>
        <w:ind w:left="0" w:firstLine="0"/>
        <w:rPr>
          <w:sz w:val="24"/>
          <w:u w:val="single"/>
        </w:rPr>
      </w:pPr>
    </w:p>
    <w:p>
      <w:pPr>
        <w:pStyle w:val="Type de détail"/>
        <w:numPr>
          <w:ilvl w:val="0"/>
          <w:numId w:val="0"/>
        </w:numPr>
        <w:ind w:left="0" w:firstLine="0"/>
        <w:rPr>
          <w:sz w:val="24"/>
        </w:rPr>
      </w:pPr>
      <w:r>
        <w:rPr>
          <w:sz w:val="24"/>
          <w:u w:val="single"/>
        </w:rPr>
        <w:t xml:space="preserve">DPE</w:t>
      </w:r>
      <w:r>
        <w:rPr>
          <w:sz w:val="24"/>
        </w:rPr>
        <w:t xml:space="preserve">:</w:t>
      </w:r>
    </w:p>
    <w:p>
      <w:pPr>
        <w:pStyle w:val="Type de détail"/>
        <w:numPr>
          <w:ilvl w:val="0"/>
          <w:numId w:val="0"/>
        </w:numPr>
        <w:ind w:left="0" w:firstLine="0"/>
      </w:pPr>
      <w:r>
        <w:rPr>
          <w:sz w:val="24"/>
        </w:rPr>
        <w:t xml:space="preserve">Consommation énergétique en énergie primaire: Non Fournie.</w:t>
      </w:r>
    </w:p>
    <w:p>
      <w:pPr>
        <w:pStyle w:val="Type de détail"/>
        <w:numPr>
          <w:ilvl w:val="0"/>
          <w:numId w:val="0"/>
        </w:numPr>
        <w:ind w:left="0" w:firstLine="0"/>
        <w:rPr>
          <w:sz w:val="24"/>
        </w:rPr>
      </w:pPr>
      <w:r>
        <w:rPr>
          <w:sz w:val="24"/>
        </w:rPr>
        <w:t xml:space="preserve">Emission de gaz à effet de serre: Non Fournie.</w:t>
      </w:r>
    </w:p>
    <w:p>
      <w:pPr>
        <w:pStyle w:val="Type de détail"/>
        <w:numPr>
          <w:ilvl w:val="0"/>
          <w:numId w:val="0"/>
        </w:numPr>
        <w:ind w:left="0" w:firstLine="0"/>
      </w:pPr>
    </w:p>
    <w:p>
      <w:pPr>
        <w:pStyle w:val="Détail"/>
        <w:numPr>
          <w:ilvl w:val="0"/>
          <w:numId w:val="0"/>
        </w:numPr>
        <w:ind w:left="0" w:firstLine="0"/>
      </w:pPr>
      <w:r>
        <w:rPr>
          <w:b w:val="on"/>
          <w:u w:val="single"/>
        </w:rPr>
        <w:t xml:space="preserve">Chauffage</w:t>
      </w:r>
      <w:r>
        <w:t xml:space="preserve">: Electrique + bois insert non conforme.</w:t>
      </w:r>
    </w:p>
    <w:p>
      <w:pPr>
        <w:pStyle w:val="Détail"/>
        <w:numPr>
          <w:ilvl w:val="0"/>
          <w:numId w:val="0"/>
        </w:numPr>
        <w:ind w:left="0" w:firstLine="0"/>
      </w:pPr>
    </w:p>
    <w:p>
      <w:pPr>
        <w:pStyle w:val="Détail"/>
        <w:numPr>
          <w:ilvl w:val="0"/>
          <w:numId w:val="0"/>
        </w:numPr>
        <w:ind w:left="0" w:firstLine="0"/>
      </w:pPr>
      <w:r>
        <w:rPr>
          <w:b w:val="on"/>
          <w:u w:val="single"/>
        </w:rPr>
        <w:t xml:space="preserve">Equipements de Cuisine</w:t>
      </w:r>
      <w:r>
        <w:t xml:space="preserve">: Cuisinière au gaz  qui se trouve dans le studio, 2 Hottes aspirantes , dont une  dans le studio.</w:t>
      </w:r>
    </w:p>
    <w:p>
      <w:pPr>
        <w:pStyle w:val="Détail"/>
        <w:numPr>
          <w:ilvl w:val="0"/>
          <w:numId w:val="0"/>
        </w:numPr>
        <w:ind w:left="0" w:firstLine="0"/>
      </w:pPr>
    </w:p>
    <w:p>
      <w:pPr>
        <w:pStyle w:val="Détail"/>
        <w:numPr>
          <w:ilvl w:val="0"/>
          <w:numId w:val="0"/>
        </w:numPr>
        <w:ind w:left="0" w:firstLine="0"/>
      </w:pPr>
      <w:r>
        <w:rPr>
          <w:u w:val="single"/>
        </w:rPr>
        <w:t xml:space="preserve">.</w:t>
      </w:r>
      <w:r>
        <w:rPr>
          <w:b w:val="on"/>
          <w:u w:val="single"/>
        </w:rPr>
        <w:t xml:space="preserve">Equipements divers</w:t>
      </w:r>
      <w:r>
        <w:t xml:space="preserve">: Fosse septique non conforme .</w:t>
      </w:r>
    </w:p>
    <w:p>
      <w:pPr>
        <w:pStyle w:val="Détail"/>
        <w:numPr>
          <w:ilvl w:val="0"/>
          <w:numId w:val="0"/>
        </w:numPr>
        <w:ind w:left="0" w:firstLine="0"/>
      </w:pPr>
    </w:p>
    <w:p>
      <w:pPr>
        <w:pStyle w:val="Détail"/>
        <w:numPr>
          <w:ilvl w:val="0"/>
          <w:numId w:val="0"/>
        </w:numPr>
        <w:ind w:left="0" w:firstLine="0"/>
      </w:pPr>
      <w:r>
        <w:rPr>
          <w:b w:val="on"/>
          <w:u w:val="single"/>
        </w:rPr>
        <w:t xml:space="preserve">Fenêtres: </w:t>
      </w:r>
      <w:r>
        <w:t xml:space="preserve">Bois double vitrage,volets  en bois.</w:t>
      </w:r>
    </w:p>
    <w:p>
      <w:pPr>
        <w:pStyle w:val="Détail"/>
        <w:numPr>
          <w:ilvl w:val="0"/>
          <w:numId w:val="0"/>
        </w:numPr>
        <w:ind w:left="0" w:firstLine="0"/>
        <w:rPr>
          <w:b w:val="on"/>
        </w:rPr>
      </w:pPr>
    </w:p>
    <w:p>
      <w:pPr>
        <w:pStyle w:val="Détail"/>
        <w:numPr>
          <w:ilvl w:val="0"/>
          <w:numId w:val="0"/>
        </w:numPr>
        <w:ind w:left="0" w:firstLine="0"/>
      </w:pPr>
      <w:r>
        <w:rPr>
          <w:b w:val="on"/>
          <w:u w:val="single"/>
        </w:rPr>
        <w:t xml:space="preserve">Services</w:t>
      </w:r>
      <w:r>
        <w:t xml:space="preserve">:Ville la plus proche : 8km de Gourdon et environ 14 km de Sarlat. Calme, école  et crèche.</w:t>
      </w:r>
    </w:p>
    <w:p>
      <w:pPr>
        <w:pStyle w:val="Détail"/>
        <w:numPr>
          <w:ilvl w:val="0"/>
          <w:numId w:val="0"/>
        </w:numPr>
        <w:ind w:left="0" w:firstLine="0"/>
      </w:pPr>
    </w:p>
    <w:p>
      <w:pPr>
        <w:pStyle w:val="Détail"/>
        <w:numPr>
          <w:ilvl w:val="0"/>
          <w:numId w:val="0"/>
        </w:numPr>
        <w:ind w:left="0" w:firstLine="0"/>
        <w:rPr>
          <w:b w:val="on"/>
        </w:rPr>
      </w:pPr>
      <w:r>
        <w:rPr>
          <w:b w:val="on"/>
          <w:u w:val="single"/>
        </w:rPr>
        <w:t xml:space="preserve">Terrain</w:t>
      </w:r>
      <w:r>
        <w:rPr>
          <w:b w:val="on"/>
        </w:rPr>
        <w:t xml:space="preserve">: </w:t>
      </w:r>
      <w:r>
        <w:t xml:space="preserve">Allée privée. Partiellement cloturé ,potager sur le coté droit de la maison</w:t>
      </w:r>
    </w:p>
    <w:p>
      <w:pPr>
        <w:pStyle w:val="Détail"/>
        <w:numPr>
          <w:ilvl w:val="0"/>
          <w:numId w:val="0"/>
        </w:numPr>
        <w:ind w:left="0" w:firstLine="0"/>
        <w:rPr>
          <w:b w:val="on"/>
        </w:rPr>
      </w:pPr>
    </w:p>
    <w:p>
      <w:pPr>
        <w:pStyle w:val="Détail"/>
        <w:numPr>
          <w:ilvl w:val="0"/>
          <w:numId w:val="0"/>
        </w:numPr>
        <w:ind w:left="0" w:firstLine="0"/>
        <w:rPr>
          <w:u w:val="single"/>
        </w:rPr>
      </w:pPr>
      <w:r>
        <w:rPr>
          <w:b w:val="on"/>
          <w:u w:val="single"/>
        </w:rPr>
        <w:t xml:space="preserve">Toiture</w:t>
      </w:r>
      <w:r>
        <w:rPr>
          <w:b w:val="on"/>
        </w:rPr>
        <w:t xml:space="preserve">: </w:t>
      </w:r>
      <w:r>
        <w:t xml:space="preserve">Tuiles</w:t>
      </w:r>
      <w:r>
        <w:rPr>
          <w:u w:val="single"/>
        </w:rPr>
        <w:t xml:space="preserve">.</w:t>
      </w:r>
    </w:p>
    <w:p>
      <w:pPr>
        <w:pStyle w:val="Détail"/>
        <w:numPr>
          <w:ilvl w:val="0"/>
          <w:numId w:val="0"/>
        </w:numPr>
        <w:ind w:left="0" w:firstLine="0"/>
        <w:rPr>
          <w:b w:val="on"/>
          <w:u w:val="single"/>
        </w:rPr>
      </w:pPr>
    </w:p>
    <w:p>
      <w:pPr>
        <w:pStyle w:val="Détail"/>
        <w:numPr>
          <w:ilvl w:val="0"/>
          <w:numId w:val="0"/>
        </w:numPr>
        <w:ind w:left="0" w:firstLine="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135 000 €</w:t>
      </w:r>
      <w:r>
        <w:rPr>
          <w:sz w:val="24"/>
        </w:rPr>
        <w:t xml:space="preserve"> (</w:t>
      </w:r>
      <w:r>
        <w:rPr>
          <w:b w:val="on"/>
          <w:sz w:val="24"/>
        </w:rPr>
        <w:t xml:space="preserve">Cent trente cinq EUROS</w:t>
      </w:r>
      <w:r>
        <w:rPr>
          <w:sz w:val="24"/>
        </w:rPr>
        <w:t xml:space="preserve">) et </w:t>
      </w:r>
      <w:r>
        <w:rPr>
          <w:b w:val="on"/>
          <w:sz w:val="24"/>
        </w:rPr>
        <w:t xml:space="preserve">150.000 €</w:t>
      </w:r>
      <w:r>
        <w:rPr>
          <w:sz w:val="24"/>
        </w:rPr>
        <w:t xml:space="preserve"> (</w:t>
      </w:r>
      <w:r>
        <w:rPr>
          <w:b w:val="on"/>
          <w:sz w:val="24"/>
        </w:rPr>
        <w:t xml:space="preserve">Cent cinquante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sur ce secteur et sous réserve du résultat favorable des expertises : termites,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7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9278"/>
              <w:tab w:val="left" w:pos="20412"/>
              <w:tab w:val="left" w:pos="21546"/>
              <w:tab w:val="left" w:pos="22680"/>
              <w:tab w:val="left" w:pos="23814"/>
              <w:tab w:val="left" w:pos="24948"/>
              <w:tab w:val="left" w:pos="26082"/>
              <w:tab w:val="left" w:pos="27216"/>
              <w:tab w:val="left" w:pos="28350"/>
              <w:tab w:val="left" w:pos="29484"/>
              <w:tab w:val="left" w:pos="30618"/>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20412"/>
              <w:tab w:val="left" w:pos="21546"/>
              <w:tab w:val="left" w:pos="22680"/>
              <w:tab w:val="left" w:pos="23814"/>
              <w:tab w:val="left" w:pos="24948"/>
              <w:tab w:val="left" w:pos="26082"/>
              <w:tab w:val="left" w:pos="27216"/>
              <w:tab w:val="left" w:pos="28350"/>
              <w:tab w:val="left" w:pos="29484"/>
              <w:tab w:val="left" w:pos="30618"/>
              <w:tab w:val="left" w:pos="3175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9278"/>
        <w:tab w:val="left" w:pos="20412"/>
        <w:tab w:val="left" w:pos="21546"/>
        <w:tab w:val="left" w:pos="22680"/>
        <w:tab w:val="left" w:pos="23814"/>
        <w:tab w:val="left" w:pos="24948"/>
        <w:tab w:val="left" w:pos="26082"/>
        <w:tab w:val="left" w:pos="27216"/>
        <w:tab w:val="left" w:pos="28350"/>
        <w:tab w:val="left" w:pos="29484"/>
        <w:tab w:val="left" w:pos="30618"/>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p>
      </w:tc>
    </w:tr>
  </w:tbl>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