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CA6940-1-1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m².Chauffage central à granulés (chaudière 2019), DPE en D.Double vitrage.Fosse septiqueconforme (2020). La maison principale comprend une superbe terrasse avec vue surlacampagne, une entrée, une véranda, un vaste séjour lumineux (incluant la cuisine ouverte), un cellier, une salle de bain, un w.c., une salle d'eau, 3 chambres (2 en rez-de-jardin, 1 au1er étage), une terrasse, et au niveau inférieur, un grand garage, 2 caves voutées, deux grands ateliers. La dépendance sur deux niveaux offre 3 chambres, une salle d'eau, un W.C., un petit bureau indépendant.Vous serez séduit par cette rénovation atypique, alliant l'authenticité, le confort, le plaisir de vivre dans de grands volumes lumineux.Grand séjour (environ 95m²) .La vue est belle, le calme présent, les premières commodités à 5 mn, le centre ville de Cahors à 25 mn. A 15 mn de 2 bourgs "tous commerces". 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273 600 €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5,64% soit 259 000 €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Consommation énergétique en énergie primaire</w:t>
                  </w:r>
                </w:p>
                <w:p>
                  <w:pPr>
                    <w:pStyle w:val="Détail"/>
                  </w:pPr>
                  <w:r>
                    <w:t xml:space="preserve">Emission de gaz à effet de serre 6,00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6,00 Kgco2/m²an B</w:t>
                  </w:r>
                </w:p>
                <w:p>
                  <w:pPr>
                    <w:pStyle w:val="Détail"/>
                  </w:pPr>
                  <w:r>
                    <w:t xml:space="preserve">Date de réalisation DPE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 chaudière 2019</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 posées en 2015</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