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b w:val="on"/>
          <w:sz w:val="18"/>
        </w:rPr>
      </w:pPr>
      <w:r>
        <w:rPr>
          <w:b w:val="on"/>
          <w:sz w:val="24"/>
          <w:u w:val="single"/>
        </w:rPr>
        <w:t xml:space="preserve">PROPOSITION D'ACHAT</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b w:val="on"/>
          <w:sz w:val="18"/>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18"/>
        </w:rPr>
      </w:pPr>
      <w:r>
        <w:rPr>
          <w:b w:val="on"/>
          <w:sz w:val="24"/>
          <w:u w:val="single"/>
        </w:rPr>
        <w:t xml:space="preserve">LE(S) PROPOSANT(S)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2"/>
        </w:rPr>
      </w:pPr>
      <w:r>
        <w:rPr>
          <w:sz w:val="22"/>
        </w:rPr>
        <w:t xml:space="preserve">Madame VAN DYCK Anne-Marie -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2"/>
        </w:rPr>
      </w:pPr>
      <w:r>
        <w:rPr>
          <w:sz w:val="22"/>
        </w:rPr>
        <w:t xml:space="preserve">Reconnait  avoir, grâce à l'intervention de l'Agence Immobilière Quercy transactions, visité le bien désigné ci-après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b w:val="on"/>
          <w:sz w:val="24"/>
        </w:rPr>
      </w:pPr>
      <w:r>
        <w:rPr>
          <w:b w:val="on"/>
          <w:sz w:val="24"/>
          <w:u w:val="single"/>
        </w:rPr>
        <w:t xml:space="preserve">REFERENCE, SITUATION ET DESIGNATION DU BIEN VISITE</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b w:val="on"/>
          <w:sz w:val="22"/>
        </w:rPr>
      </w:pPr>
      <w:r>
        <w:rPr>
          <w:sz w:val="22"/>
        </w:rPr>
        <w:t xml:space="preserve">CA6885-2 - 564, route de Saint-Cirq Lapopie Matufelle - 46260 CONCOTS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rPr>
          <w:b w:val="on"/>
          <w:u w:val="single"/>
        </w:rPr>
        <w:t xml:space="preserve">Désignation succincte</w:t>
      </w:r>
      <w:r>
        <w:rPr>
          <w:b w:val="on"/>
        </w:rPr>
        <w:t xml:space="preserve"> : </w:t>
      </w:r>
      <w:r>
        <w:rPr>
          <w:color w:val="000000"/>
        </w:rPr>
        <w:t xml:space="preserve">EXCLUSIVITE - Maison ancienne en pierre rénovée et dépendances adjacentes et non-adjacentes non-rénovées. Terrain bordé en partie de murs en pierre, avec portail, d'environ 9609 m²  Assainissement individuel. Piscine . grangette en pierre . Dans la maison d’habitation : en rez-de-chaussée,2 caves et une buanderie-chaufferie (  adoucisseur d'eau); au premier étage, terrasse couverte, un séjour, un bureau (ancienne "souillarde"),une cuisine aménagée et équipée , une chambre avec sa salle d'eau-wc, une autre chambre avec son dressing et sa salle d'eau -w.c., plus un w.c. indépendant. A l'étage supérieur, une  pièce distribuant une chambre, et une pièce pouvant être aménagée en salle de bain-w.c.  </w:t>
      </w:r>
      <w:r>
        <w:t xml:space="preserve">Les dépendances mitoyennes comportent en rez de chaussée 4 espaces non-rénovées dont 3 avec combles. Terrasse couverte par un préau. Chauffage central au sol au premier étage et par radiateurs au deuxième étage, alimenté par une pompe à chaleur, pouvant être relayée par une chaudière au gaz (cuve enterrée), le tout complété par des radiateurs chauffe-serviette dans les 2 salles-d ’eau. L’eau chaude est aussi fournie par cette pompe à chaleur.2 poêles à bois. Fenêtres et volets en bois.    section B n° 711, 712, 713, 1063.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t xml:space="preserve">Les informations sur les risques auquel ce bien est exposé sont disponibles sur le site Géorisques </w:t>
      </w:r>
      <w:r>
        <w:rPr>
          <w:color w:val="0000FF"/>
          <w:u w:val="single"/>
        </w:rPr>
        <w:t xml:space="preserve">www.georisques.gouv.fr</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b w:val="on"/>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b w:val="on"/>
          <w:sz w:val="22"/>
        </w:rPr>
      </w:pPr>
      <w:r>
        <w:rPr>
          <w:b w:val="on"/>
          <w:sz w:val="24"/>
          <w:u w:val="single"/>
        </w:rPr>
        <w:t xml:space="preserve">APPARTENANT à</w:t>
      </w:r>
      <w:r>
        <w:rPr>
          <w:b w:val="on"/>
          <w:sz w:val="24"/>
        </w:rPr>
        <w:t xml:space="preserve"> : </w:t>
      </w:r>
      <w:r>
        <w:rPr>
          <w:sz w:val="22"/>
        </w:rPr>
        <w:t xml:space="preserve">Indivision LEWIS LLOYD</w:t>
      </w:r>
      <w:r>
        <w:rPr>
          <w:b w:val="on"/>
          <w:sz w:val="22"/>
        </w:rPr>
        <w:t xml:space="preserve">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b w:val="on"/>
          <w:sz w:val="24"/>
        </w:rPr>
      </w:pPr>
      <w:r>
        <w:rPr>
          <w:sz w:val="22"/>
        </w:rPr>
        <w:t xml:space="preserve">Suite à cette visite, je/nous propose(ons) d'acheter ce bien aux conditions suivantes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b w:val="on"/>
          <w:sz w:val="24"/>
        </w:rPr>
      </w:pPr>
      <w:r>
        <w:rPr>
          <w:b w:val="on"/>
          <w:sz w:val="24"/>
          <w:u w:val="single"/>
        </w:rPr>
        <w:t xml:space="preserve">PRIX PROPOSE </w:t>
      </w:r>
      <w:r>
        <w:rPr>
          <w:b w:val="on"/>
          <w:sz w:val="24"/>
        </w:rPr>
        <w:t xml:space="preserve">: 409 500 € (QUATRE CENT NEUF MILLE et CINQ CENTS EUROS)</w:t>
      </w:r>
      <w:r>
        <w:rPr>
          <w:b w:val="on"/>
          <w:sz w:val="16"/>
        </w:rPr>
        <w:t xml:space="preserve"> </w:t>
      </w:r>
      <w:r>
        <w:rPr>
          <w:b w:val="on"/>
          <w:sz w:val="24"/>
        </w:rPr>
        <w:t xml:space="preserve">honoraires d'agence inclus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t xml:space="preserve">Qui comprend les honoraires de l'agence, dont les modalités et le montant sont déjà énoncés au mandat.</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2"/>
        </w:rPr>
      </w:pPr>
      <w:r>
        <w:rPr>
          <w:b w:val="on"/>
          <w:sz w:val="24"/>
          <w:u w:val="single"/>
        </w:rPr>
        <w:t xml:space="preserve">FINANCEMENT</w:t>
      </w:r>
      <w:r>
        <w:rPr>
          <w:sz w:val="24"/>
          <w:u w:val="single"/>
        </w:rPr>
        <w:t xml:space="preserve"> </w:t>
      </w:r>
      <w:r>
        <w:rPr>
          <w:sz w:val="24"/>
        </w:rPr>
        <w:t xml:space="preserve">: </w:t>
      </w:r>
      <w:r>
        <w:rPr>
          <w:sz w:val="22"/>
        </w:rPr>
        <w:t xml:space="preserve">Comptant ou crédit</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b w:val="on"/>
          <w:sz w:val="24"/>
        </w:rPr>
      </w:pPr>
      <w:r>
        <w:rPr>
          <w:sz w:val="22"/>
        </w:rPr>
        <w:t xml:space="preserve">Le prix proposé indiqué ci-dessus sera payable comptant le jour de l'acte définitf.</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2"/>
        </w:rPr>
      </w:pPr>
      <w:r>
        <w:rPr>
          <w:b w:val="on"/>
          <w:sz w:val="24"/>
          <w:u w:val="single"/>
        </w:rPr>
        <w:t xml:space="preserve">DUREE ET EFFET DE LA PROPOSITION D'ACHAT</w:t>
      </w:r>
      <w:r>
        <w:rPr>
          <w:b w:val="on"/>
          <w:sz w:val="24"/>
        </w:rPr>
        <w:t xml:space="preserve"> : </w:t>
      </w:r>
      <w:r>
        <w:rPr>
          <w:sz w:val="24"/>
        </w:rPr>
        <w:t xml:space="preserve">Cette</w:t>
      </w:r>
      <w:r>
        <w:rPr>
          <w:b w:val="on"/>
          <w:sz w:val="24"/>
        </w:rPr>
        <w:t xml:space="preserve"> </w:t>
      </w:r>
      <w:r>
        <w:rPr>
          <w:sz w:val="22"/>
        </w:rPr>
        <w:t xml:space="preserve">proposition d'achat est valable  Je déclare être informée qu'en cas d'accord de Madame LEWIS LLOYD, je serai tenue de régulariser le compromis de vente au plus tard le 16 juillet 2024</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2"/>
        </w:rPr>
      </w:pPr>
      <w:r>
        <w:rPr>
          <w:sz w:val="22"/>
        </w:rPr>
        <w:t xml:space="preserve">Fait le 25 juin 2024, dans les locaux de l'agence, en triple exemplaire, dont un pour le cabinet immobilier, un remis au(x) proposant(s), un au(x) propriétaire(s).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b w:val="on"/>
          <w:sz w:val="24"/>
        </w:rPr>
      </w:pPr>
      <w:r>
        <w:rPr>
          <w:b w:val="on"/>
          <w:sz w:val="24"/>
        </w:rPr>
        <w:t xml:space="preserve">LE(S) PROPOSANT(S)				LE CABINET IMMOBILIER</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r>
        <w:t xml:space="preserve">Signature précédée de la mention manuscrite</w:t>
      </w:r>
      <w:r>
        <w:rPr>
          <w:sz w:val="24"/>
        </w:rPr>
        <w:t xml:space="preserve">		</w:t>
      </w:r>
      <w:r>
        <w:t xml:space="preserve">Signature précédée de la mention manuscrite</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r>
        <w:t xml:space="preserve">"lu et approuvé, bon pour proposition au prix de 		"lu et approuvé, bon pour acceptation"</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b w:val="on"/>
          <w:sz w:val="24"/>
        </w:rPr>
      </w:pPr>
      <w:r>
        <w:rPr>
          <w:b w:val="on"/>
          <w:sz w:val="24"/>
        </w:rPr>
        <w:t xml:space="preserve">							LE(S) PROPRIETAIRE(S)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r>
        <w:t xml:space="preserve">							Signature précédée de la mention manuscrite</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r>
        <w:t xml:space="preserve">							"lu et approuvé bon pour acceptation au prix net 								vendeur de </w:t>
      </w:r>
    </w:p>
    <w:p>
      <w:pPr>
        <w:pStyle w:val="Titre1"/>
        <w:rPr>
          <w:b w:val="off"/>
          <w:sz w:val="20"/>
        </w:rPr>
      </w:pPr>
    </w:p>
    <w:sectPr>
      <w:headerReference w:type="default" r:id="rId00006"/>
      <w:footerReference w:type="default" r:id="rId00007"/>
      <w:pgSz w:w="11906" w:h="16837"/>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Détail"/>
      <w:numPr>
        <w:ilvl w:val="0"/>
        <w:numId w:val="0"/>
      </w:numPr>
      <w:tabs>
        <w:tab w:val="right" w:pos="9014"/>
        <w:tab w:val="clear" w:pos="1134"/>
        <w:tab w:val="clear" w:pos="2268"/>
        <w:tab w:val="clear" w:pos="3402"/>
        <w:tab w:val="clear" w:pos="4536"/>
        <w:tab w:val="clear" w:pos="5670"/>
        <w:tab w:val="clear" w:pos="6804"/>
        <w:tab w:val="clear" w:pos="7938"/>
        <w:tab w:val="clear" w:pos="9072"/>
        <w:tab w:val="clear" w:pos="10206"/>
        <w:tab w:val="clear" w:pos="11340"/>
      </w:tabs>
      <w:ind w:left="0" w:firstLine="0"/>
      <w:jc w:val="center"/>
      <w:rPr>
        <w:rFonts w:ascii="Times New Roman" w:hAnsi="Times New Roman" w:eastAsia="Times New Roman"/>
        <w:sz w:val="20"/>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805"/>
      <w:gridCol w:w="6825"/>
    </w:tblGrid>
    <w:tr>
      <w:tc>
        <w:tcPr>
          <w:tcW w:w="2805" w:type="dxa"/>
          <w:shd w:val="clear" w:fill="auto"/>
          <w:vAlign w:val="top"/>
        </w:tcPr>
        <w:p>
          <w:pPr>
            <w:pStyle w:val="[Normal]"/>
            <w:rPr>
              <w:sz w:val="20"/>
              <w:shd w:val="clear" w:fill="FFFFFF"/>
            </w:rPr>
          </w:pPr>
          <w:r>
            <w:drawing>
              <wp:inline distT="0" distB="0" distL="0" distR="0">
                <wp:extent cx="1504950"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152525"/>
                        </a:xfrm>
                        <a:prstGeom prst="rect">
                          <a:avLst/>
                        </a:prstGeom>
                      </pic:spPr>
                    </pic:pic>
                  </a:graphicData>
                </a:graphic>
              </wp:inline>
            </w:drawing>
          </w:r>
        </w:p>
      </w:tc>
      <w:tc>
        <w:tcPr>
          <w:tcW w:w="6825" w:type="dxa"/>
          <w:shd w:val="clear" w:fill="auto"/>
          <w:vAlign w:val="top"/>
        </w:tcPr>
        <w:p>
          <w:pPr>
            <w:pStyle w:val="[Normal]"/>
            <w:rPr>
              <w:sz w:val="20"/>
              <w:shd w:val="clear" w:fill="FFFFFF"/>
            </w:rPr>
          </w:pPr>
        </w:p>
        <w:p>
          <w:pPr>
            <w:pStyle w:val="[Normal]"/>
            <w:jc w:val="center"/>
            <w:rPr>
              <w:b w:val="on"/>
              <w:sz w:val="20"/>
              <w:shd w:val="clear" w:fill="FFFFFF"/>
            </w:rPr>
          </w:pPr>
          <w:r>
            <w:rPr>
              <w:b w:val="on"/>
              <w:sz w:val="36"/>
              <w:shd w:val="clear" w:fill="FFFFFF"/>
            </w:rPr>
            <w:t xml:space="preserve">Immobilier Quercy Transactions</w:t>
          </w:r>
        </w:p>
        <w:p>
          <w:pPr>
            <w:pStyle w:val="[Normal]"/>
            <w:jc w:val="center"/>
            <w:rPr>
              <w:b w:val="on"/>
              <w:sz w:val="20"/>
              <w:shd w:val="clear" w:fill="FFFFFF"/>
            </w:rPr>
          </w:pPr>
          <w:r>
            <w:rPr>
              <w:b w:val="on"/>
              <w:sz w:val="20"/>
              <w:shd w:val="clear" w:fill="FFFFFF"/>
            </w:rPr>
            <w:t xml:space="preserve">3, Place Jean-Jacques Chapou (place de la Cathédrale)</w:t>
          </w:r>
        </w:p>
        <w:p>
          <w:pPr>
            <w:pStyle w:val="[Normal]"/>
            <w:jc w:val="center"/>
            <w:rPr>
              <w:b w:val="on"/>
              <w:sz w:val="20"/>
              <w:shd w:val="clear" w:fill="FFFFFF"/>
            </w:rPr>
          </w:pPr>
          <w:r>
            <w:rPr>
              <w:b w:val="on"/>
              <w:sz w:val="20"/>
              <w:shd w:val="clear" w:fill="FFFFFF"/>
            </w:rPr>
            <w:t xml:space="preserve">46000 CAHORS</w:t>
          </w:r>
        </w:p>
        <w:p>
          <w:pPr>
            <w:pStyle w:val="[Normal]"/>
            <w:jc w:val="center"/>
            <w:rPr>
              <w:b w:val="on"/>
              <w:sz w:val="20"/>
              <w:shd w:val="clear" w:fill="FFFFFF"/>
            </w:rPr>
          </w:pPr>
          <w:r>
            <w:rPr>
              <w:b w:val="on"/>
              <w:sz w:val="20"/>
              <w:shd w:val="clear" w:fill="FFFFFF"/>
            </w:rPr>
            <w:t xml:space="preserve">Tél : 05 65 53 24 76</w:t>
          </w:r>
        </w:p>
        <w:p>
          <w:pPr>
            <w:pStyle w:val="[Normal]"/>
            <w:jc w:val="center"/>
            <w:rPr>
              <w:sz w:val="20"/>
              <w:shd w:val="clear" w:fill="FFFFFF"/>
            </w:rPr>
          </w:pPr>
          <w:r>
            <w:rPr>
              <w:b w:val="on"/>
              <w:sz w:val="20"/>
              <w:shd w:val="clear" w:fill="FFFFFF"/>
            </w:rPr>
            <w:t xml:space="preserve">contact@quercy-transactions.com </w:t>
          </w:r>
          <w:r>
            <w:rPr>
              <w:b w:val="on"/>
              <w:sz w:val="20"/>
              <w:shd w:val="clear" w:fill="FFFFFF"/>
            </w:rPr>
            <w:t xml:space="preserve">www.quercy-transactions.com</w:t>
          </w:r>
        </w:p>
        <w:p>
          <w:pPr>
            <w:pStyle w:val="[Normal]"/>
            <w:rPr>
              <w:sz w:val="20"/>
              <w:shd w:val="clear" w:fill="FFFFFF"/>
            </w:rPr>
          </w:pPr>
        </w:p>
      </w:tc>
    </w:tr>
  </w:tbl>
  <w:p>
    <w:pPr>
      <w:pStyle w:val="[Normal]"/>
      <w:rPr>
        <w:sz w:val="20"/>
        <w:shd w:val="clear" w:fill="FFFFFF"/>
      </w:rPr>
    </w:pPr>
  </w:p>
</w:hdr>
</file>

<file path=word/numbering.xml><?xml version="1.0" encoding="utf-8"?>
<w:numbering xmlns:w="http://schemas.openxmlformats.org/wordprocessingml/2006/main">
  <w:abstractNum w:abstractNumId="0">
    <w:multiLevelType w:val="singleLevel"/>
    <w:lvl w:ilvl="0">
      <w:start w:val="1"/>
      <w:numFmt w:val="bullet"/>
      <w:pStyle w:val="Détail"/>
      <w:suff w:val="tab"/>
      <w:lvlText w:val=""/>
      <w:pPr>
        <w:ind w:left="360" w:hanging="360"/>
        <w:tabs>
          <w:tab w:val="num" w:pos="360"/>
        </w:tabs>
      </w:pPr>
      <w:rPr>
        <w:rFonts w:hint="default" w:ascii="Symbol" w:hAnsi="Symbol" w:eastAsia="Symbol"/>
        <w:b w:val="off"/>
        <w:i w:val="off"/>
        <w:strike w:val="off"/>
        <w:color w:val="auto"/>
        <w:position w:val="0"/>
        <w:sz w:val="24"/>
        <w:u w:val="none"/>
        <w:shd w:val="clear" w:fill="auto"/>
      </w:rPr>
    </w:lvl>
  </w:abstractNum>
  <w:abstractNum w:abstractNumId="1">
    <w:multiLevelType w:val="singleLevel"/>
    <w:lvl w:ilvl="0">
      <w:start w:val="1"/>
      <w:numFmt w:val="bullet"/>
      <w:pStyle w:val="Type de détail"/>
      <w:suff w:val="tab"/>
      <w:lvlText w:val=""/>
      <w:pPr>
        <w:ind w:left="360" w:hanging="360"/>
        <w:tabs>
          <w:tab w:val="num" w:pos="360"/>
        </w:tabs>
      </w:pPr>
      <w:rPr>
        <w:rFonts w:hint="default" w:ascii="Symbol" w:hAnsi="Symbol" w:eastAsia="Symbol"/>
        <w:b w:val="on"/>
        <w:i w:val="off"/>
        <w:strike w:val="off"/>
        <w:color w:val="auto"/>
        <w:position w:val="0"/>
        <w:sz w:val="28"/>
        <w:u w:val="none"/>
        <w:shd w:val="clear" w:fill="auto"/>
      </w:rPr>
    </w:lvl>
  </w:abstractNum>
  <w:num w:numId="1">
    <w:abstractNumId w:val="0"/>
  </w:num>
  <w:num w:numId="2">
    <w:abstractNumId w:val="1"/>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Détail">
    <w:name w:val="Détail"/>
    <w:basedOn w:val="[Normal]"/>
    <w:next w:val="Détail"/>
    <w:qFormat/>
    <w:pPr>
      <w:numPr>
        <w:ilvl w:val="0"/>
        <w:numId w:val="1"/>
      </w:numPr>
      <w:ind w:left="360" w:hanging="360"/>
    </w:pPr>
    <w:rPr/>
  </w:style>
  <w:style w:type="paragraph" w:styleId="Type de détail">
    <w:name w:val="Type de détail"/>
    <w:basedOn w:val="Détail"/>
    <w:next w:val="Type de détail"/>
    <w:qFormat/>
    <w:pPr>
      <w:numPr>
        <w:ilvl w:val="0"/>
        <w:numId w:val="2"/>
      </w:numPr>
    </w:pPr>
    <w:rPr>
      <w:b w:val="on"/>
      <w:sz w:val="28"/>
    </w:rPr>
  </w:style>
  <w:style w:type="paragraph" w:styleId="Normal">
    <w:name w:val="Normal"/>
    <w:next w:val="Normal"/>
    <w:qFormat/>
    <w:pPr>
      <w:spacing w:before="0" w:after="0" w:line="240" w:lineRule="auto"/>
      <w:ind w:left="1080" w:right="0" w:firstLine="0"/>
      <w:jc w:val="left"/>
    </w:pPr>
    <w:rPr>
      <w:rFonts w:ascii="Arial" w:hAnsi="Arial" w:eastAsia="Arial"/>
      <w:b w:val="off"/>
      <w:i w:val="off"/>
      <w:strike w:val="off"/>
      <w:color w:val="auto"/>
      <w:sz w:val="20"/>
      <w:shd w:val="clear" w:fill="auto"/>
    </w:rPr>
  </w:style>
  <w:style w:type="paragraph" w:styleId="historique">
    <w:name w:val="historique"/>
    <w:basedOn w:val="Normal"/>
    <w:next w:val="historique"/>
    <w:qFormat/>
    <w:pPr/>
    <w:rPr>
      <w:sz w:val="16"/>
    </w:rPr>
  </w:style>
  <w:style w:type="paragraph" w:styleId="Titre1">
    <w:name w:val="Titre1"/>
    <w:basedOn w:val="[Normal]"/>
    <w:next w:val="Titre1"/>
    <w:qFormat/>
    <w:pPr/>
    <w:rPr>
      <w:b w:val="on"/>
      <w:sz w:val="28"/>
    </w:rPr>
  </w:style>
  <w:style w:type="paragraph" w:styleId="Alinéa">
    <w:name w:val="Alinéa"/>
    <w:basedOn w:val="[Normal]"/>
    <w:next w:val="Alinéa"/>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240" w:line="360" w:lineRule="auto"/>
      <w:ind w:left="1134" w:right="1134"/>
      <w:jc w:val="both"/>
    </w:pPr>
    <w:rPr>
      <w:rFonts w:ascii="Times New Roman" w:hAnsi="Times New Roman" w:eastAsia="Times New Roman"/>
      <w:color w:val="000000"/>
      <w:sz w:val="28"/>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character" w:styleId="A">
    <w:name w:val="A"/>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6" Type="http://schemas.openxmlformats.org/officeDocument/2006/relationships/header" Target="header0001.xml"/>
	<Relationship Id="rId00007" Type="http://schemas.openxmlformats.org/officeDocument/2006/relationships/footer" Target="footer0001.xml"/>
	<Relationship Id="rId00008" Type="http://schemas.openxmlformats.org/officeDocument/2006/relationships/numbering" Target="numbering.xml"/>
	<Relationship Id="rId00009" Type="http://schemas.openxmlformats.org/officeDocument/2006/relationships/fontTable" Target="fontTable.xml"/>
	<Relationship Id="rId00010"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