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6 908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Rue de la résidence  Alix freycinet - les Chênes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appartement, en rez de chaussée dans une résidence au calme du centre-ville. Entrée avec placards, séjour donnant sur un balcon, cuisine indépendante, 2 chambres, wc, salle d'eau. Chauffage électrique ; Baie alu et fenêtres. Volets roulants PVC électriques. Tout à l'égout.  1 cave. Place parking exterieur.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				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MATHEY S/T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Marie - UDAF du LOT 159 rue du pape jean XXIII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Gayraud Dominique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gayraud.dominique81@gmail.com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- 0685445330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voir CNI jointe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paiement 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5500 euros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</w:t>
      </w:r>
      <w:r>
        <w:rPr>
          <w:sz w:val="22"/>
        </w:rPr>
        <w:t xml:space="preserve">1669euros</w:t>
      </w:r>
      <w:r>
        <w:rPr>
          <w:b w:val="on"/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 </w:t>
      </w:r>
      <w:r>
        <w:rPr>
          <w:b w:val="on"/>
          <w:sz w:val="22"/>
        </w:rPr>
        <w:t xml:space="preserve">Foncia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meubles de cuisine hauts et bas , plaque ed cuisson induction , hotte asirante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ascenseur, piscine, adoucisseur, détecteur de fumée, poele à bois (facture ramonage), cheminée insert (facture ramonage), chaudière (facture entretien), citerne gaz (copie contrat de location), cuve à fuel, dispositif de récupération des eaux de pluie, panneaux solaires, alarme, wc sanibroyeur, climatisation, puits, dégâts des eaux (ou tout autre sinistre) récemment survenu (déclaration de sinistre),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110 000 €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9 350 € à la charge de l'acquéreur (dont  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23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 - gérant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