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6 867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22/01/2024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1, rue de l'aste 46800 MONTCUQ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:.Maison ancienne en pierre de 8 pièces,  rénovée , en centre d'un bourg offrant des commodités.Au rez-de-chaussée: une  pièce dont une destination de commerce est acquise, avec un acces sur la rue; une deuxième pièce pouvant communiquer avec la première et autorisée aussi à une destination commerciale; une salle d'eau; une grande chambre; une cuisine aménagée ouvrant sur une petite cour sans vis à vis avec accès dans une ruelle;un w.c., une buanderie -chaufferie avec le chauffe eau et l'installation pour le chauffage air/eau par pompe à chaleur , une pièce non aménagée ouvrant aussi sur la petite cour; un couloir dessert les pièces et ouvre par un autre accès sur une ruelle.Premier étage  salon, couloir et dégagement, trois  chambres, une cuisine aménagée et équipée avec accès sur une terrasse(puitsalimenté)quiaccèdedeplain-pieduneruelle,wc indépendant,salledebainavecbaignoire,double-vasque,douche, w.c.suspendu.Deuxième étage,combles:palier, 2 pièces non aménagées (toiture isolée),et grand grenier (isolation soufflée sur plancher).Assainissement par le tout à l'égout, toiture révisée et  isolée.DPE en C .Les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VIVENOT Anne</w:t>
            </w:r>
          </w:p>
          <w:p>
            <w:pPr>
              <w:pStyle w:val="[Normal]"/>
              <w:jc w:val="center"/>
            </w:pPr>
            <w:r>
              <w:t xml:space="preserve">1, rue de l'aste </w:t>
            </w:r>
          </w:p>
          <w:p>
            <w:pPr>
              <w:pStyle w:val="[Normal]"/>
              <w:jc w:val="center"/>
            </w:pPr>
            <w:r>
              <w:t xml:space="preserve">46800 MONTCUQ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237 000 € (DEUX CENT TRENTE-SEPT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15 000 € (QUINZE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16 mai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signature précédée de laention manuscrite"lu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