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both"/>
                    <w:rPr>
                      <w:rFonts w:ascii="Century Gothic" w:hAnsi="Century Gothic" w:eastAsia="Century Gothic"/>
                      <w:sz w:val="20"/>
                    </w:rPr>
                  </w:pPr>
                  <w:r>
                    <w:rPr>
                      <w:rFonts w:ascii="Century Gothic" w:hAnsi="Century Gothic" w:eastAsia="Century Gothic"/>
                      <w:sz w:val="20"/>
                    </w:rPr>
                    <w:t xml:space="preserve">Cahors maison centre-ville avec garage jardin et piscine d'environ 222 m² de surface habitable sur 2 niveaux plus une petite maison indépendante d'environ 34 m² sur un terrain de 760 m², clôturé et arboré. Piscine coque (2022) avec terrasse en travertin chalet bois. Rez de chaussée : garage, entrée, cuisine d'été, wc, salle d'eau, bureau, pièce de rangement. Etage : séjour (60 m²), palier, cuisine, wc, salle d'eau, 3 chambres dont une avec dressing. Chauffage chaudière à condensation au gaz de ville (2021) chauffeau électrique 200 L (2021) Peinture extérieure refaite (2022). Parquet refait en 2022- Toiture refaite en 2021. Volets roulants électriques, fenêtres double vitrage (alu-pvc). VMC à tous les niveaux, climatisation réversible (2021) au 1er étage. Portail de garage isolé électrique, portillon piéton avec interphone vidéo. Récupération de l'eau des toitures dans une citerne de 14000 L (reliées ou pas à une pompe" pour alimenter les wc. Palissade en bois neuve coté rue. Alarme Vérisur. Les informations sur les risques auquel ce bien est exposé sont disponibles sur le site Géorisques www.georisques.gouv.fr</w:t>
                  </w:r>
                </w:p>
                <w:p>
                  <w:pPr>
                    <w:pStyle w:val="[Normal]"/>
                    <w:ind w:right="113"/>
                    <w:jc w:val="center"/>
                    <w:rPr>
                      <w:rFonts w:ascii="Century Gothic" w:hAnsi="Century Gothic" w:eastAsia="Century Gothic"/>
                      <w:b w:val="on"/>
                      <w:sz w:val="28"/>
                    </w:rPr>
                  </w:pPr>
                  <w:r>
                    <w:rPr>
                      <w:rFonts w:ascii="Century Gothic" w:hAnsi="Century Gothic" w:eastAsia="Century Gothic"/>
                      <w:b w:val="on"/>
                      <w:color w:val="000080"/>
                      <w:sz w:val="36"/>
                    </w:rPr>
                    <w:t xml:space="preserve">Prix : 488 250 €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5,00% TTC</w:t>
                    <w:br w:type="textWrapping"/>
                  </w:r>
                  <w:r>
                    <w:rPr>
                      <w:rFonts w:ascii="Century Gothic" w:hAnsi="Century Gothic" w:eastAsia="Century Gothic"/>
                      <w:sz w:val="20"/>
                    </w:rPr>
                    <w:t xml:space="preserve">Prix honoraires exclu :  465 000 €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CA6871</w:t>
                  </w: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5</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3</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220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760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23/02/2024,</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3 025,00 €,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4 093,00 €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